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9389" w14:textId="77777777" w:rsidR="00D62FEC" w:rsidRDefault="00413F95" w:rsidP="007E56E6">
      <w:pPr>
        <w:pStyle w:val="Heading1"/>
        <w:numPr>
          <w:ilvl w:val="0"/>
          <w:numId w:val="0"/>
        </w:numPr>
      </w:pPr>
      <w:r>
        <w:t>Planning under Pluralism</w:t>
      </w:r>
      <w:r w:rsidR="00EA368E" w:rsidRPr="00390B67">
        <w:t>:</w:t>
      </w:r>
      <w:r w:rsidR="00E91456">
        <w:t xml:space="preserve"> </w:t>
      </w:r>
      <w:r w:rsidR="004E3BDB">
        <w:t xml:space="preserve">Implications to </w:t>
      </w:r>
      <w:r w:rsidR="00CF3C46">
        <w:t xml:space="preserve">Project </w:t>
      </w:r>
      <w:r w:rsidR="00E91456">
        <w:t>Organization</w:t>
      </w:r>
      <w:r w:rsidR="00EC703A">
        <w:t xml:space="preserve"> Design and</w:t>
      </w:r>
      <w:r w:rsidR="0056447D" w:rsidRPr="00390B67">
        <w:t xml:space="preserve"> Performance</w:t>
      </w:r>
    </w:p>
    <w:p w14:paraId="075BB2D9" w14:textId="77777777" w:rsidR="00D62FEC" w:rsidRPr="00D62FEC" w:rsidRDefault="00D62FEC" w:rsidP="007E56E6">
      <w:pPr>
        <w:pStyle w:val="Heading1"/>
        <w:numPr>
          <w:ilvl w:val="0"/>
          <w:numId w:val="0"/>
        </w:numPr>
        <w:rPr>
          <w:sz w:val="22"/>
        </w:rPr>
      </w:pPr>
      <w:proofErr w:type="spellStart"/>
      <w:r w:rsidRPr="00D62FEC">
        <w:rPr>
          <w:sz w:val="22"/>
        </w:rPr>
        <w:t>Nuno</w:t>
      </w:r>
      <w:proofErr w:type="spellEnd"/>
      <w:r w:rsidRPr="00D62FEC">
        <w:rPr>
          <w:sz w:val="22"/>
        </w:rPr>
        <w:t xml:space="preserve"> Gil, Manchester Business School</w:t>
      </w:r>
      <w:bookmarkStart w:id="0" w:name="_GoBack"/>
      <w:bookmarkEnd w:id="0"/>
    </w:p>
    <w:p w14:paraId="423A6B9D" w14:textId="3FD5AEF4" w:rsidR="00E63281" w:rsidRPr="00D62FEC" w:rsidRDefault="00D62FEC" w:rsidP="00D62FEC">
      <w:pPr>
        <w:pStyle w:val="Heading1"/>
        <w:numPr>
          <w:ilvl w:val="0"/>
          <w:numId w:val="0"/>
        </w:numPr>
        <w:ind w:left="360" w:hanging="360"/>
        <w:rPr>
          <w:sz w:val="22"/>
        </w:rPr>
      </w:pPr>
      <w:r w:rsidRPr="00D62FEC">
        <w:rPr>
          <w:sz w:val="22"/>
        </w:rPr>
        <w:t>Jeff Pinto</w:t>
      </w:r>
      <w:proofErr w:type="gramStart"/>
      <w:r w:rsidRPr="00D62FEC">
        <w:rPr>
          <w:sz w:val="22"/>
        </w:rPr>
        <w:t>, ,</w:t>
      </w:r>
      <w:proofErr w:type="gramEnd"/>
      <w:r w:rsidRPr="00D62FEC">
        <w:rPr>
          <w:sz w:val="22"/>
        </w:rPr>
        <w:t xml:space="preserve"> </w:t>
      </w:r>
      <w:r w:rsidRPr="00D62FEC">
        <w:rPr>
          <w:sz w:val="22"/>
        </w:rPr>
        <w:t>Black School of Business</w:t>
      </w:r>
      <w:r w:rsidRPr="00D62FEC">
        <w:rPr>
          <w:sz w:val="22"/>
        </w:rPr>
        <w:t xml:space="preserve">, </w:t>
      </w:r>
      <w:r w:rsidRPr="00D62FEC">
        <w:rPr>
          <w:sz w:val="22"/>
        </w:rPr>
        <w:t>Penn State – Erie</w:t>
      </w:r>
      <w:r w:rsidR="0056447D" w:rsidRPr="00D62FEC">
        <w:rPr>
          <w:sz w:val="22"/>
        </w:rPr>
        <w:t xml:space="preserve"> </w:t>
      </w:r>
    </w:p>
    <w:p w14:paraId="563F2B91" w14:textId="3159322E" w:rsidR="00E01BC1" w:rsidRPr="00390B67" w:rsidRDefault="00E01BC1" w:rsidP="0011294A">
      <w:pPr>
        <w:pStyle w:val="Abstract"/>
      </w:pPr>
      <w:r w:rsidRPr="00390B67">
        <w:t>This</w:t>
      </w:r>
      <w:r w:rsidR="00951F85" w:rsidRPr="00390B67">
        <w:t xml:space="preserve"> </w:t>
      </w:r>
      <w:r w:rsidRPr="00390B67">
        <w:t xml:space="preserve">study </w:t>
      </w:r>
      <w:r w:rsidR="006E2CAE" w:rsidRPr="00390B67">
        <w:t>illuminate</w:t>
      </w:r>
      <w:r w:rsidR="00E91456">
        <w:t>s the</w:t>
      </w:r>
      <w:r w:rsidR="00875551">
        <w:t xml:space="preserve"> </w:t>
      </w:r>
      <w:r w:rsidR="004E3BDB">
        <w:t xml:space="preserve">design </w:t>
      </w:r>
      <w:r w:rsidR="00875551">
        <w:t xml:space="preserve">of </w:t>
      </w:r>
      <w:r w:rsidR="004E3BDB">
        <w:t xml:space="preserve">the </w:t>
      </w:r>
      <w:r w:rsidR="002001C0">
        <w:t>project-based</w:t>
      </w:r>
      <w:r w:rsidR="00875551">
        <w:t xml:space="preserve"> </w:t>
      </w:r>
      <w:r w:rsidR="00E91456">
        <w:t>organization</w:t>
      </w:r>
      <w:r w:rsidR="00D30288">
        <w:t>s formed to</w:t>
      </w:r>
      <w:r w:rsidR="0011294A">
        <w:t xml:space="preserve"> plan capital-intensive </w:t>
      </w:r>
      <w:r w:rsidR="002001C0">
        <w:t>system</w:t>
      </w:r>
      <w:r w:rsidR="0011294A">
        <w:t xml:space="preserve">s and </w:t>
      </w:r>
      <w:r w:rsidR="00EE4812">
        <w:t xml:space="preserve">the impact of </w:t>
      </w:r>
      <w:r w:rsidR="000D2E0D">
        <w:t>organization</w:t>
      </w:r>
      <w:r w:rsidR="008B7671">
        <w:t>al</w:t>
      </w:r>
      <w:r w:rsidR="004E3BDB">
        <w:t xml:space="preserve"> </w:t>
      </w:r>
      <w:r w:rsidR="008B7671">
        <w:t xml:space="preserve">architecture </w:t>
      </w:r>
      <w:r w:rsidR="00EE4812">
        <w:t xml:space="preserve">on </w:t>
      </w:r>
      <w:r w:rsidR="00B307CC">
        <w:t>performance</w:t>
      </w:r>
      <w:r w:rsidR="0011294A">
        <w:t xml:space="preserve">. </w:t>
      </w:r>
      <w:r w:rsidR="00951F85" w:rsidRPr="00390B67">
        <w:t>The research is grounded on</w:t>
      </w:r>
      <w:r w:rsidR="00413F95">
        <w:t xml:space="preserve"> </w:t>
      </w:r>
      <w:r w:rsidR="00951F85" w:rsidRPr="00390B67">
        <w:t>four</w:t>
      </w:r>
      <w:r w:rsidR="00521C55" w:rsidRPr="00390B67">
        <w:t xml:space="preserve"> </w:t>
      </w:r>
      <w:r w:rsidR="00C873A2" w:rsidRPr="00390B67">
        <w:t>large</w:t>
      </w:r>
      <w:r w:rsidR="00D70209" w:rsidRPr="00390B67">
        <w:t xml:space="preserve"> </w:t>
      </w:r>
      <w:r w:rsidR="00B307CC">
        <w:t xml:space="preserve">infrastructure </w:t>
      </w:r>
      <w:r w:rsidR="00270FB3" w:rsidRPr="00390B67">
        <w:t>projects</w:t>
      </w:r>
      <w:r w:rsidR="00D70209" w:rsidRPr="00390B67">
        <w:t xml:space="preserve"> in the UK</w:t>
      </w:r>
      <w:r w:rsidR="00951F85" w:rsidRPr="00390B67">
        <w:t xml:space="preserve">. </w:t>
      </w:r>
      <w:r w:rsidR="00F91E96">
        <w:t>We first use</w:t>
      </w:r>
      <w:r w:rsidR="00EC2DC7" w:rsidRPr="00390B67">
        <w:t xml:space="preserve"> Design Structure Matrices</w:t>
      </w:r>
      <w:r w:rsidR="00F91E96">
        <w:t xml:space="preserve"> to </w:t>
      </w:r>
      <w:r w:rsidR="00413F95">
        <w:t>establish</w:t>
      </w:r>
      <w:r w:rsidR="00CE3CA4">
        <w:t xml:space="preserve"> </w:t>
      </w:r>
      <w:r w:rsidR="00413F95">
        <w:t>that planning</w:t>
      </w:r>
      <w:r w:rsidR="004E3BDB">
        <w:t xml:space="preserve"> is carried on by</w:t>
      </w:r>
      <w:r w:rsidR="00413F95">
        <w:t xml:space="preserve"> </w:t>
      </w:r>
      <w:r w:rsidR="00EE4812">
        <w:t xml:space="preserve">project </w:t>
      </w:r>
      <w:r w:rsidR="004E3BDB">
        <w:t xml:space="preserve">organizations with a </w:t>
      </w:r>
      <w:r w:rsidR="00413F95">
        <w:t>polycentric</w:t>
      </w:r>
      <w:r w:rsidR="004E3BDB">
        <w:t xml:space="preserve"> architecture</w:t>
      </w:r>
      <w:r w:rsidR="00B62137">
        <w:t>.</w:t>
      </w:r>
      <w:r w:rsidR="00015C37">
        <w:t xml:space="preserve"> </w:t>
      </w:r>
      <w:r w:rsidR="004E3BDB">
        <w:t xml:space="preserve">We </w:t>
      </w:r>
      <w:r w:rsidR="00EC703A">
        <w:t xml:space="preserve">show </w:t>
      </w:r>
      <w:r w:rsidR="004E3BDB">
        <w:t xml:space="preserve">that in </w:t>
      </w:r>
      <w:r w:rsidR="007D4D5C" w:rsidRPr="00390B67">
        <w:t>this</w:t>
      </w:r>
      <w:r w:rsidR="001229EC">
        <w:t xml:space="preserve"> pluralistic</w:t>
      </w:r>
      <w:r w:rsidR="00B62137">
        <w:t xml:space="preserve"> </w:t>
      </w:r>
      <w:r w:rsidR="007D4D5C" w:rsidRPr="00390B67">
        <w:t>form of organizing</w:t>
      </w:r>
      <w:r w:rsidR="00B62137">
        <w:t>,</w:t>
      </w:r>
      <w:r w:rsidR="00A67551" w:rsidRPr="00390B67">
        <w:t xml:space="preserve"> </w:t>
      </w:r>
      <w:r w:rsidR="00EE0286" w:rsidRPr="00390B67">
        <w:t>the</w:t>
      </w:r>
      <w:r w:rsidR="00E91456">
        <w:t xml:space="preserve"> </w:t>
      </w:r>
      <w:r w:rsidR="004E3BDB">
        <w:t xml:space="preserve">project </w:t>
      </w:r>
      <w:r w:rsidR="002101BD" w:rsidRPr="00390B67">
        <w:t>promot</w:t>
      </w:r>
      <w:r w:rsidR="0067349F" w:rsidRPr="00390B67">
        <w:t xml:space="preserve">er </w:t>
      </w:r>
      <w:r w:rsidR="004E3BDB">
        <w:t xml:space="preserve">has </w:t>
      </w:r>
      <w:r w:rsidR="00DB5138">
        <w:t xml:space="preserve">the </w:t>
      </w:r>
      <w:r w:rsidR="004E3BDB">
        <w:t xml:space="preserve">authority to set </w:t>
      </w:r>
      <w:r w:rsidR="0011294A">
        <w:t>performance targets</w:t>
      </w:r>
      <w:r w:rsidR="00F91E96">
        <w:t>,</w:t>
      </w:r>
      <w:r w:rsidR="0011294A">
        <w:t xml:space="preserve"> </w:t>
      </w:r>
      <w:r w:rsidR="00F91E96">
        <w:t>but</w:t>
      </w:r>
      <w:r w:rsidR="00A8418D">
        <w:t xml:space="preserve"> shares </w:t>
      </w:r>
      <w:r w:rsidR="00EE4812">
        <w:t xml:space="preserve">the </w:t>
      </w:r>
      <w:r w:rsidR="002101BD" w:rsidRPr="00390B67">
        <w:t>authority</w:t>
      </w:r>
      <w:r w:rsidR="00884B1D" w:rsidRPr="00390B67">
        <w:t xml:space="preserve"> over </w:t>
      </w:r>
      <w:r w:rsidR="00B62137">
        <w:t>the</w:t>
      </w:r>
      <w:r w:rsidR="004E3BDB">
        <w:t xml:space="preserve"> </w:t>
      </w:r>
      <w:r w:rsidR="001738F1">
        <w:t xml:space="preserve">final </w:t>
      </w:r>
      <w:r w:rsidR="00413F95">
        <w:t>planning</w:t>
      </w:r>
      <w:r w:rsidR="00884B1D" w:rsidRPr="00390B67">
        <w:t xml:space="preserve"> </w:t>
      </w:r>
      <w:r w:rsidR="008B7671">
        <w:t xml:space="preserve">choices </w:t>
      </w:r>
      <w:r w:rsidR="00A84DCA" w:rsidRPr="00390B67">
        <w:t>with</w:t>
      </w:r>
      <w:r w:rsidR="001B3564" w:rsidRPr="00390B67">
        <w:t xml:space="preserve"> </w:t>
      </w:r>
      <w:r w:rsidR="007D4D5C" w:rsidRPr="00390B67">
        <w:t>multiple</w:t>
      </w:r>
      <w:r w:rsidR="00AE10D3" w:rsidRPr="00390B67">
        <w:t xml:space="preserve"> </w:t>
      </w:r>
      <w:r w:rsidR="000D2E0D">
        <w:t>autonomous</w:t>
      </w:r>
      <w:r w:rsidR="00DB5138">
        <w:t xml:space="preserve"> </w:t>
      </w:r>
      <w:r w:rsidR="00413F95">
        <w:t>actors</w:t>
      </w:r>
      <w:r w:rsidR="00F31319" w:rsidRPr="00390B67">
        <w:t>.</w:t>
      </w:r>
      <w:r w:rsidR="00EF5A06">
        <w:t xml:space="preserve"> </w:t>
      </w:r>
      <w:r w:rsidR="004E3BDB">
        <w:t xml:space="preserve">We also </w:t>
      </w:r>
      <w:r w:rsidR="00EC703A">
        <w:t xml:space="preserve">show that </w:t>
      </w:r>
      <w:r w:rsidR="004E3BDB">
        <w:t>s</w:t>
      </w:r>
      <w:r w:rsidR="00EF5A06">
        <w:t xml:space="preserve">hared decision rights </w:t>
      </w:r>
      <w:r w:rsidR="00D30288">
        <w:t>lead to multiple</w:t>
      </w:r>
      <w:r w:rsidR="00EC703A">
        <w:t xml:space="preserve"> local</w:t>
      </w:r>
      <w:r w:rsidR="00D30288">
        <w:t xml:space="preserve"> disputes </w:t>
      </w:r>
      <w:r w:rsidR="00EC703A">
        <w:t>and</w:t>
      </w:r>
      <w:r w:rsidR="00D30288">
        <w:t xml:space="preserve"> pressure </w:t>
      </w:r>
      <w:r w:rsidR="00EC703A">
        <w:t>to relax</w:t>
      </w:r>
      <w:r w:rsidR="00D30288">
        <w:t xml:space="preserve"> the</w:t>
      </w:r>
      <w:r w:rsidR="00EF5A06">
        <w:t xml:space="preserve"> </w:t>
      </w:r>
      <w:r w:rsidR="00ED1952" w:rsidRPr="00390B67">
        <w:t>performance</w:t>
      </w:r>
      <w:r w:rsidR="0067349F" w:rsidRPr="00390B67">
        <w:t xml:space="preserve"> targets</w:t>
      </w:r>
      <w:r w:rsidR="00413F95">
        <w:t xml:space="preserve">. </w:t>
      </w:r>
      <w:r w:rsidR="00496782" w:rsidRPr="00390B67">
        <w:t>Our</w:t>
      </w:r>
      <w:r w:rsidR="000B2208" w:rsidRPr="00390B67">
        <w:t xml:space="preserve"> main</w:t>
      </w:r>
      <w:r w:rsidR="0011294A">
        <w:t xml:space="preserve"> </w:t>
      </w:r>
      <w:r w:rsidR="000B2208" w:rsidRPr="00390B67">
        <w:t>contribution is a</w:t>
      </w:r>
      <w:r w:rsidR="00EE4812">
        <w:t xml:space="preserve"> conceptual</w:t>
      </w:r>
      <w:r w:rsidR="00A8418D">
        <w:t xml:space="preserve"> </w:t>
      </w:r>
      <w:r w:rsidR="003B4ED6">
        <w:t>framework</w:t>
      </w:r>
      <w:r w:rsidR="00742646" w:rsidRPr="00390B67">
        <w:t xml:space="preserve"> </w:t>
      </w:r>
      <w:r w:rsidR="0011294A">
        <w:t xml:space="preserve">that </w:t>
      </w:r>
      <w:r w:rsidR="00B307CC">
        <w:t xml:space="preserve">proposes </w:t>
      </w:r>
      <w:r w:rsidR="00A8418D">
        <w:t xml:space="preserve">four </w:t>
      </w:r>
      <w:r w:rsidR="006B3F96">
        <w:t>differing</w:t>
      </w:r>
      <w:r w:rsidR="00B307CC">
        <w:t xml:space="preserve"> </w:t>
      </w:r>
      <w:r w:rsidR="004E3BDB">
        <w:t>logics</w:t>
      </w:r>
      <w:r w:rsidR="00DB5138">
        <w:t xml:space="preserve"> linking organization design and </w:t>
      </w:r>
      <w:r w:rsidR="00AE6333">
        <w:t>performance</w:t>
      </w:r>
      <w:r w:rsidR="004E3BDB">
        <w:t xml:space="preserve"> </w:t>
      </w:r>
      <w:r w:rsidR="003B4ED6">
        <w:t>contingent on</w:t>
      </w:r>
      <w:r w:rsidR="003F3900">
        <w:t xml:space="preserve"> </w:t>
      </w:r>
      <w:r w:rsidR="003E3B35">
        <w:t>whether</w:t>
      </w:r>
      <w:r w:rsidR="004E3BDB">
        <w:t xml:space="preserve">, first, </w:t>
      </w:r>
      <w:r w:rsidR="003E3B35">
        <w:t xml:space="preserve">the </w:t>
      </w:r>
      <w:r w:rsidR="00EE4812">
        <w:t>surrounding</w:t>
      </w:r>
      <w:r w:rsidR="00EE4812" w:rsidRPr="00390B67">
        <w:t xml:space="preserve"> </w:t>
      </w:r>
      <w:r w:rsidR="00D70209" w:rsidRPr="00390B67">
        <w:t>context</w:t>
      </w:r>
      <w:r w:rsidR="00A8418D">
        <w:t xml:space="preserve"> </w:t>
      </w:r>
      <w:r w:rsidR="003E3B35">
        <w:t>provides</w:t>
      </w:r>
      <w:r w:rsidR="00413F95">
        <w:t xml:space="preserve"> an</w:t>
      </w:r>
      <w:r w:rsidR="00EE4812">
        <w:t xml:space="preserve"> </w:t>
      </w:r>
      <w:r w:rsidR="00A8418D">
        <w:t>‘</w:t>
      </w:r>
      <w:r w:rsidR="00413F95">
        <w:t>umpir</w:t>
      </w:r>
      <w:r w:rsidR="003F3900">
        <w:t>e</w:t>
      </w:r>
      <w:r w:rsidR="00A8418D">
        <w:t>’</w:t>
      </w:r>
      <w:r w:rsidR="003F3900">
        <w:t xml:space="preserve"> </w:t>
      </w:r>
      <w:r w:rsidR="00A8418D">
        <w:t>t</w:t>
      </w:r>
      <w:r w:rsidR="006B3F96">
        <w:t xml:space="preserve">o </w:t>
      </w:r>
      <w:r w:rsidR="00D45A76" w:rsidRPr="00390B67">
        <w:t>referee disputes</w:t>
      </w:r>
      <w:r w:rsidR="002101BB" w:rsidRPr="00390B67">
        <w:t>;</w:t>
      </w:r>
      <w:r w:rsidR="00B43E61" w:rsidRPr="00390B67">
        <w:t xml:space="preserve"> and</w:t>
      </w:r>
      <w:r w:rsidR="002101BB" w:rsidRPr="00390B67">
        <w:t xml:space="preserve"> </w:t>
      </w:r>
      <w:r w:rsidR="004E3BDB">
        <w:t xml:space="preserve">second, </w:t>
      </w:r>
      <w:r w:rsidR="00145AF2" w:rsidRPr="00390B67">
        <w:t>the</w:t>
      </w:r>
      <w:r w:rsidR="003D295D" w:rsidRPr="00390B67">
        <w:t xml:space="preserve"> </w:t>
      </w:r>
      <w:r w:rsidR="003F3900">
        <w:t>promoter has</w:t>
      </w:r>
      <w:r w:rsidR="00BE714E">
        <w:t xml:space="preserve"> </w:t>
      </w:r>
      <w:r w:rsidR="00BE3A48" w:rsidRPr="00390B67">
        <w:t>slack resources</w:t>
      </w:r>
      <w:r w:rsidR="0011294A">
        <w:t xml:space="preserve"> </w:t>
      </w:r>
      <w:r w:rsidR="0012519F" w:rsidRPr="00390B67">
        <w:t>to</w:t>
      </w:r>
      <w:r w:rsidR="009D5227" w:rsidRPr="00390B67">
        <w:t xml:space="preserve"> </w:t>
      </w:r>
      <w:r w:rsidR="00B307CC">
        <w:t xml:space="preserve">mask </w:t>
      </w:r>
      <w:r w:rsidR="006B3F96">
        <w:t xml:space="preserve">slippages </w:t>
      </w:r>
      <w:r w:rsidR="003F3900">
        <w:t xml:space="preserve">in the performance targets </w:t>
      </w:r>
      <w:r w:rsidR="006B3F96">
        <w:t>from the eyes of third parties</w:t>
      </w:r>
      <w:r w:rsidR="001506F2" w:rsidRPr="00390B67">
        <w:t>.</w:t>
      </w:r>
      <w:r w:rsidR="004B553C" w:rsidRPr="00390B67">
        <w:t xml:space="preserve"> </w:t>
      </w:r>
      <w:r w:rsidR="00B307CC">
        <w:t xml:space="preserve">We </w:t>
      </w:r>
      <w:r w:rsidR="004E3BDB">
        <w:t xml:space="preserve">argue </w:t>
      </w:r>
      <w:r w:rsidR="000D2E0D">
        <w:t xml:space="preserve">that the </w:t>
      </w:r>
      <w:r w:rsidR="00120E85">
        <w:t>four</w:t>
      </w:r>
      <w:r w:rsidR="00B307CC">
        <w:t xml:space="preserve"> logics </w:t>
      </w:r>
      <w:r w:rsidR="00CE3CA4">
        <w:t xml:space="preserve">reveal </w:t>
      </w:r>
      <w:r w:rsidR="00A8418D">
        <w:t xml:space="preserve">fundamentally </w:t>
      </w:r>
      <w:r w:rsidR="00B307CC">
        <w:t>different</w:t>
      </w:r>
      <w:r w:rsidR="006B3F96">
        <w:t xml:space="preserve"> classes of</w:t>
      </w:r>
      <w:r w:rsidR="00B307CC">
        <w:t xml:space="preserve"> manage</w:t>
      </w:r>
      <w:r w:rsidR="00A8418D">
        <w:t>rial</w:t>
      </w:r>
      <w:r w:rsidR="00B307CC">
        <w:t xml:space="preserve"> pr</w:t>
      </w:r>
      <w:r w:rsidR="006B3F96">
        <w:t>oblems</w:t>
      </w:r>
      <w:r w:rsidR="00B307CC">
        <w:t>, and</w:t>
      </w:r>
      <w:r w:rsidR="003F3900">
        <w:t xml:space="preserve"> </w:t>
      </w:r>
      <w:r w:rsidR="00B307CC">
        <w:t>draw i</w:t>
      </w:r>
      <w:r w:rsidR="00CE738F" w:rsidRPr="00390B67">
        <w:t>mplications</w:t>
      </w:r>
      <w:r w:rsidR="00CC7D2B" w:rsidRPr="00390B67">
        <w:t xml:space="preserve"> to </w:t>
      </w:r>
      <w:r w:rsidR="00FB7369" w:rsidRPr="00390B67">
        <w:t xml:space="preserve">practice and </w:t>
      </w:r>
      <w:r w:rsidR="00CC7D2B" w:rsidRPr="00390B67">
        <w:t>policy</w:t>
      </w:r>
      <w:r w:rsidR="00CC1FC8" w:rsidRPr="00390B67">
        <w:t>.</w:t>
      </w:r>
      <w:r w:rsidR="004E585D" w:rsidRPr="00390B67">
        <w:t xml:space="preserve"> </w:t>
      </w:r>
    </w:p>
    <w:p w14:paraId="50774918" w14:textId="77777777" w:rsidR="00CC290B" w:rsidRPr="00390B67" w:rsidRDefault="00CC290B" w:rsidP="00D70209">
      <w:pPr>
        <w:pStyle w:val="Abstract"/>
      </w:pPr>
    </w:p>
    <w:p w14:paraId="0B3BFB62" w14:textId="4E207687" w:rsidR="00724E3F" w:rsidRPr="005A69DD" w:rsidRDefault="003D69AB" w:rsidP="005A69DD">
      <w:pPr>
        <w:pStyle w:val="Heading1"/>
      </w:pPr>
      <w:r w:rsidRPr="005A69DD">
        <w:t>Introduction</w:t>
      </w:r>
    </w:p>
    <w:p w14:paraId="70413F29" w14:textId="7F3A99C6" w:rsidR="00120E85" w:rsidRDefault="00E513A9" w:rsidP="00120E85">
      <w:r>
        <w:t xml:space="preserve">A long-standing puzzle in management and policy literature has </w:t>
      </w:r>
      <w:r w:rsidR="00654E3B">
        <w:t>sought</w:t>
      </w:r>
      <w:r>
        <w:t xml:space="preserve"> to explain why</w:t>
      </w:r>
      <w:r w:rsidR="00CE3CA4">
        <w:t xml:space="preserve"> empirical</w:t>
      </w:r>
      <w:r w:rsidR="00120E85">
        <w:t xml:space="preserve"> </w:t>
      </w:r>
      <w:r w:rsidR="00FB19E3">
        <w:t xml:space="preserve">accounts </w:t>
      </w:r>
      <w:r w:rsidR="00CF3C46">
        <w:t>repeatedly</w:t>
      </w:r>
      <w:r w:rsidR="003E3B35">
        <w:t xml:space="preserve"> </w:t>
      </w:r>
      <w:r w:rsidR="00CE3CA4">
        <w:t xml:space="preserve">show </w:t>
      </w:r>
      <w:r w:rsidR="003E3B35">
        <w:t xml:space="preserve">that </w:t>
      </w:r>
      <w:r>
        <w:t xml:space="preserve">capital-intensive project organizations </w:t>
      </w:r>
      <w:r w:rsidR="003E3B35">
        <w:t xml:space="preserve">struggle </w:t>
      </w:r>
      <w:r>
        <w:t>to meet the</w:t>
      </w:r>
      <w:r w:rsidR="00CE3CA4">
        <w:t xml:space="preserve"> </w:t>
      </w:r>
      <w:r w:rsidR="00BE714E">
        <w:t xml:space="preserve">initial </w:t>
      </w:r>
      <w:r>
        <w:t xml:space="preserve">performance targets. </w:t>
      </w:r>
      <w:r w:rsidR="001229EC">
        <w:t xml:space="preserve">These accounts matter because announcements of </w:t>
      </w:r>
      <w:r w:rsidRPr="00390B67">
        <w:t>performance targets</w:t>
      </w:r>
      <w:r w:rsidR="004234F7">
        <w:t xml:space="preserve"> </w:t>
      </w:r>
      <w:r w:rsidR="001229EC">
        <w:t xml:space="preserve">that </w:t>
      </w:r>
      <w:r w:rsidR="00901C17">
        <w:t>turn out</w:t>
      </w:r>
      <w:r>
        <w:t xml:space="preserve"> </w:t>
      </w:r>
      <w:r w:rsidRPr="00390B67">
        <w:t>way off the mark</w:t>
      </w:r>
      <w:r w:rsidR="001229EC">
        <w:t xml:space="preserve"> </w:t>
      </w:r>
      <w:r w:rsidR="00DB5138">
        <w:t>fuel</w:t>
      </w:r>
      <w:r w:rsidR="001229EC">
        <w:t xml:space="preserve"> </w:t>
      </w:r>
      <w:r>
        <w:t>a</w:t>
      </w:r>
      <w:r w:rsidR="001229EC">
        <w:t xml:space="preserve"> </w:t>
      </w:r>
      <w:r>
        <w:t>perception</w:t>
      </w:r>
      <w:r w:rsidR="001229EC">
        <w:t xml:space="preserve"> that </w:t>
      </w:r>
      <w:r w:rsidR="00CE3CA4">
        <w:t>the project</w:t>
      </w:r>
      <w:r w:rsidR="00DB5138">
        <w:t xml:space="preserve"> organization</w:t>
      </w:r>
      <w:r w:rsidR="003B4ED6">
        <w:t xml:space="preserve"> </w:t>
      </w:r>
      <w:r w:rsidR="003E3B35">
        <w:t>has</w:t>
      </w:r>
      <w:r w:rsidR="0065077A">
        <w:t xml:space="preserve"> </w:t>
      </w:r>
      <w:r w:rsidR="00F82473">
        <w:t>‘failed’</w:t>
      </w:r>
      <w:r w:rsidR="0027268B">
        <w:t>.</w:t>
      </w:r>
      <w:r>
        <w:t xml:space="preserve"> </w:t>
      </w:r>
      <w:r w:rsidR="00AA0332">
        <w:t xml:space="preserve">This perception is rooted in deep-seated </w:t>
      </w:r>
      <w:r w:rsidR="00AA0332" w:rsidRPr="00390B67">
        <w:t>norm</w:t>
      </w:r>
      <w:r w:rsidR="00AA0332">
        <w:t>s that posit ‘successful’ project</w:t>
      </w:r>
      <w:r w:rsidR="001229EC">
        <w:t>s</w:t>
      </w:r>
      <w:r w:rsidR="003B4ED6">
        <w:t xml:space="preserve"> manage to</w:t>
      </w:r>
      <w:r w:rsidR="006C2668">
        <w:t xml:space="preserve"> </w:t>
      </w:r>
      <w:r w:rsidR="00120E85">
        <w:t>avoid</w:t>
      </w:r>
      <w:r w:rsidR="00AA0332">
        <w:t xml:space="preserve"> scope creep </w:t>
      </w:r>
      <w:r w:rsidR="006C2668">
        <w:t>and</w:t>
      </w:r>
      <w:r w:rsidR="003B4ED6">
        <w:t xml:space="preserve"> </w:t>
      </w:r>
      <w:r w:rsidR="00AA0332">
        <w:t xml:space="preserve">achieve </w:t>
      </w:r>
      <w:r w:rsidR="003B4ED6">
        <w:t xml:space="preserve">the </w:t>
      </w:r>
      <w:r w:rsidR="00AA0332">
        <w:t>goal</w:t>
      </w:r>
      <w:r w:rsidR="00BE714E">
        <w:t>s</w:t>
      </w:r>
      <w:r w:rsidR="00AA0332">
        <w:t xml:space="preserve"> on time and </w:t>
      </w:r>
      <w:r w:rsidR="00BE714E">
        <w:t xml:space="preserve">within </w:t>
      </w:r>
      <w:r w:rsidR="00AA0332">
        <w:t xml:space="preserve">budget </w:t>
      </w:r>
      <w:r w:rsidR="00AA0332" w:rsidRPr="00390B67">
        <w:t>(Cleland and King 1968</w:t>
      </w:r>
      <w:r w:rsidR="001A3A46">
        <w:t xml:space="preserve">, </w:t>
      </w:r>
      <w:proofErr w:type="spellStart"/>
      <w:r w:rsidR="001A3A46" w:rsidRPr="00390B67">
        <w:t>Dvir</w:t>
      </w:r>
      <w:proofErr w:type="spellEnd"/>
      <w:r w:rsidR="001A3A46" w:rsidRPr="00390B67">
        <w:t xml:space="preserve"> and </w:t>
      </w:r>
      <w:proofErr w:type="spellStart"/>
      <w:r w:rsidR="001A3A46" w:rsidRPr="00390B67">
        <w:t>Lechler</w:t>
      </w:r>
      <w:proofErr w:type="spellEnd"/>
      <w:r w:rsidR="001A3A46" w:rsidRPr="00390B67">
        <w:t xml:space="preserve"> 2004)</w:t>
      </w:r>
      <w:r w:rsidR="001A3A46">
        <w:t xml:space="preserve">. </w:t>
      </w:r>
    </w:p>
    <w:p w14:paraId="604F77D0" w14:textId="69954C5F" w:rsidR="001A3A46" w:rsidRDefault="00E513A9" w:rsidP="00120E85">
      <w:r>
        <w:t xml:space="preserve">Extant </w:t>
      </w:r>
      <w:r w:rsidR="003F3900">
        <w:t>theoretical</w:t>
      </w:r>
      <w:r>
        <w:t xml:space="preserve"> explanations</w:t>
      </w:r>
      <w:r w:rsidR="00120E85">
        <w:t xml:space="preserve"> for </w:t>
      </w:r>
      <w:r w:rsidR="001229EC">
        <w:t xml:space="preserve">recurring </w:t>
      </w:r>
      <w:r w:rsidR="002001C0">
        <w:t xml:space="preserve">slippages in </w:t>
      </w:r>
      <w:r w:rsidR="00120E85">
        <w:t>performance</w:t>
      </w:r>
      <w:r w:rsidR="002001C0">
        <w:t xml:space="preserve"> targets</w:t>
      </w:r>
      <w:r w:rsidR="00120E85">
        <w:t xml:space="preserve"> fall within</w:t>
      </w:r>
      <w:r>
        <w:t xml:space="preserve"> two </w:t>
      </w:r>
      <w:r w:rsidR="00CE3CA4">
        <w:t xml:space="preserve">broad </w:t>
      </w:r>
      <w:r>
        <w:t xml:space="preserve">groups. </w:t>
      </w:r>
      <w:r w:rsidR="001A3A46" w:rsidRPr="00390B67">
        <w:t xml:space="preserve">One </w:t>
      </w:r>
      <w:r w:rsidR="008D673F">
        <w:t xml:space="preserve">group </w:t>
      </w:r>
      <w:r w:rsidR="00BA53B9">
        <w:t>blames</w:t>
      </w:r>
      <w:r w:rsidR="003F3900">
        <w:t xml:space="preserve"> the</w:t>
      </w:r>
      <w:r w:rsidR="00CE3CA4">
        <w:t xml:space="preserve"> </w:t>
      </w:r>
      <w:r w:rsidR="00BA53B9">
        <w:t xml:space="preserve">actor </w:t>
      </w:r>
      <w:r w:rsidR="00CE3CA4">
        <w:t>that promote</w:t>
      </w:r>
      <w:r w:rsidR="00BA53B9">
        <w:t>s</w:t>
      </w:r>
      <w:r w:rsidR="00CE3CA4">
        <w:t xml:space="preserve"> and finance</w:t>
      </w:r>
      <w:r w:rsidR="00BA53B9">
        <w:t>s</w:t>
      </w:r>
      <w:r w:rsidR="00CE3CA4">
        <w:t xml:space="preserve"> the</w:t>
      </w:r>
      <w:r w:rsidR="001A3A46" w:rsidRPr="00390B67">
        <w:t xml:space="preserve"> </w:t>
      </w:r>
      <w:r w:rsidR="00CE3CA4">
        <w:t>projects (</w:t>
      </w:r>
      <w:r w:rsidR="00BA53B9">
        <w:t xml:space="preserve">the </w:t>
      </w:r>
      <w:r w:rsidR="00CE3CA4">
        <w:t xml:space="preserve">‘promoter’) </w:t>
      </w:r>
      <w:r w:rsidR="003F3900">
        <w:t xml:space="preserve">for </w:t>
      </w:r>
      <w:r w:rsidR="00CE3CA4">
        <w:t>regular</w:t>
      </w:r>
      <w:r w:rsidR="00E214E7">
        <w:t xml:space="preserve">ly </w:t>
      </w:r>
      <w:r w:rsidR="00CE3CA4">
        <w:t>underestimatin</w:t>
      </w:r>
      <w:r w:rsidR="00E214E7">
        <w:t>g</w:t>
      </w:r>
      <w:r w:rsidR="00CE3CA4">
        <w:t xml:space="preserve"> </w:t>
      </w:r>
      <w:r w:rsidR="003E3B35">
        <w:t xml:space="preserve">the </w:t>
      </w:r>
      <w:r>
        <w:t xml:space="preserve">performance </w:t>
      </w:r>
      <w:r w:rsidR="001A3A46" w:rsidRPr="00390B67">
        <w:t>targets.</w:t>
      </w:r>
      <w:r>
        <w:t xml:space="preserve"> </w:t>
      </w:r>
      <w:r w:rsidR="001229EC">
        <w:t xml:space="preserve">The </w:t>
      </w:r>
      <w:r w:rsidR="00BA53B9">
        <w:t xml:space="preserve">explanations for the promoter’s behaviour </w:t>
      </w:r>
      <w:r w:rsidR="00B62137">
        <w:t>range from</w:t>
      </w:r>
      <w:r w:rsidR="008D673F">
        <w:t xml:space="preserve"> cognitive </w:t>
      </w:r>
      <w:r w:rsidR="00BA53B9" w:rsidRPr="00390B67">
        <w:t>optimism</w:t>
      </w:r>
      <w:r w:rsidR="00BA53B9">
        <w:t xml:space="preserve"> bias</w:t>
      </w:r>
      <w:r w:rsidR="00B62137">
        <w:t xml:space="preserve"> and</w:t>
      </w:r>
      <w:r w:rsidR="00BA53B9">
        <w:t xml:space="preserve"> </w:t>
      </w:r>
      <w:r w:rsidR="001A3A46" w:rsidRPr="00390B67">
        <w:t>strategic misrepresentation (</w:t>
      </w:r>
      <w:proofErr w:type="spellStart"/>
      <w:r w:rsidR="001A3A46" w:rsidRPr="00390B67">
        <w:t>Wachs</w:t>
      </w:r>
      <w:proofErr w:type="spellEnd"/>
      <w:r w:rsidR="001A3A46" w:rsidRPr="00390B67">
        <w:t xml:space="preserve"> 1989, Flyvbjerg et al. 2003)</w:t>
      </w:r>
      <w:r w:rsidR="008D673F">
        <w:t xml:space="preserve"> </w:t>
      </w:r>
      <w:r w:rsidR="00B62137">
        <w:t xml:space="preserve">to </w:t>
      </w:r>
      <w:r w:rsidR="00174CA9">
        <w:t xml:space="preserve">lack of </w:t>
      </w:r>
      <w:r w:rsidR="00B62137">
        <w:t xml:space="preserve">capabilities </w:t>
      </w:r>
      <w:r w:rsidR="00174CA9">
        <w:t xml:space="preserve">to </w:t>
      </w:r>
      <w:r w:rsidR="004A254F">
        <w:t xml:space="preserve">realise </w:t>
      </w:r>
      <w:r w:rsidR="008D673F">
        <w:t xml:space="preserve">the value of </w:t>
      </w:r>
      <w:r w:rsidR="001A3A46" w:rsidRPr="00390B67">
        <w:t>invest</w:t>
      </w:r>
      <w:r w:rsidR="008D673F">
        <w:t>ing</w:t>
      </w:r>
      <w:r w:rsidR="001A3A46" w:rsidRPr="00390B67">
        <w:t xml:space="preserve"> in </w:t>
      </w:r>
      <w:r w:rsidR="003B4ED6" w:rsidRPr="00390B67">
        <w:t>planning and</w:t>
      </w:r>
      <w:r w:rsidR="004A254F">
        <w:t xml:space="preserve"> of</w:t>
      </w:r>
      <w:r w:rsidR="008D673F">
        <w:t xml:space="preserve"> letting</w:t>
      </w:r>
      <w:r w:rsidR="0065077A">
        <w:t xml:space="preserve"> </w:t>
      </w:r>
      <w:r w:rsidR="001A3A46" w:rsidRPr="00390B67">
        <w:t xml:space="preserve">suppliers’ </w:t>
      </w:r>
      <w:r w:rsidR="00654E3B">
        <w:t>input</w:t>
      </w:r>
      <w:r w:rsidR="001A3A46" w:rsidRPr="00390B67">
        <w:t xml:space="preserve"> feed into</w:t>
      </w:r>
      <w:r w:rsidR="008D673F">
        <w:t xml:space="preserve"> the</w:t>
      </w:r>
      <w:r w:rsidR="001A3A46" w:rsidRPr="00390B67">
        <w:t xml:space="preserve"> </w:t>
      </w:r>
      <w:r w:rsidR="001A3A46" w:rsidRPr="00390B67">
        <w:lastRenderedPageBreak/>
        <w:t xml:space="preserve">planning </w:t>
      </w:r>
      <w:r w:rsidR="00D30288">
        <w:t>decisions</w:t>
      </w:r>
      <w:r w:rsidR="00F82473">
        <w:t xml:space="preserve"> </w:t>
      </w:r>
      <w:r w:rsidR="001A3A46" w:rsidRPr="00390B67">
        <w:t>(</w:t>
      </w:r>
      <w:r w:rsidR="00B62137" w:rsidRPr="00390B67">
        <w:t xml:space="preserve">Morris 1994, </w:t>
      </w:r>
      <w:proofErr w:type="spellStart"/>
      <w:r w:rsidR="00B62137" w:rsidRPr="00390B67">
        <w:t>Merrow</w:t>
      </w:r>
      <w:proofErr w:type="spellEnd"/>
      <w:r w:rsidR="00B62137" w:rsidRPr="00390B67">
        <w:t xml:space="preserve"> et al. 1988</w:t>
      </w:r>
      <w:r w:rsidR="00B62137">
        <w:t xml:space="preserve">, </w:t>
      </w:r>
      <w:proofErr w:type="spellStart"/>
      <w:r w:rsidR="001A3A46" w:rsidRPr="00390B67">
        <w:t>Stinchcombe</w:t>
      </w:r>
      <w:proofErr w:type="spellEnd"/>
      <w:r w:rsidR="001A3A46" w:rsidRPr="00390B67">
        <w:t xml:space="preserve"> and </w:t>
      </w:r>
      <w:proofErr w:type="spellStart"/>
      <w:r w:rsidR="001A3A46" w:rsidRPr="00390B67">
        <w:t>Heimer</w:t>
      </w:r>
      <w:proofErr w:type="spellEnd"/>
      <w:r w:rsidR="001A3A46" w:rsidRPr="00390B67">
        <w:t xml:space="preserve"> 1985).</w:t>
      </w:r>
      <w:r w:rsidR="00120E85">
        <w:t xml:space="preserve"> </w:t>
      </w:r>
      <w:r w:rsidR="001A3A46" w:rsidRPr="00390B67">
        <w:t>The second view is common too</w:t>
      </w:r>
      <w:r w:rsidR="001A3A46" w:rsidRPr="00390B67">
        <w:rPr>
          <w:rFonts w:ascii="Arial" w:hAnsi="Arial" w:cs="Arial"/>
        </w:rPr>
        <w:t>—</w:t>
      </w:r>
      <w:r w:rsidR="001A3A46" w:rsidRPr="00390B67">
        <w:t xml:space="preserve">that </w:t>
      </w:r>
      <w:r>
        <w:t>capital-intensive</w:t>
      </w:r>
      <w:r w:rsidR="001A3A46" w:rsidRPr="00390B67">
        <w:t xml:space="preserve"> projects cannot be planned reliably</w:t>
      </w:r>
      <w:r w:rsidR="00CE3CA4">
        <w:t xml:space="preserve">, </w:t>
      </w:r>
      <w:r w:rsidR="00E91456">
        <w:t>not because of agency</w:t>
      </w:r>
      <w:r w:rsidR="00174CA9">
        <w:t xml:space="preserve"> and capability</w:t>
      </w:r>
      <w:r w:rsidR="00E91456">
        <w:t xml:space="preserve"> problems</w:t>
      </w:r>
      <w:r w:rsidR="0027268B">
        <w:t>,</w:t>
      </w:r>
      <w:r w:rsidR="00E91456">
        <w:t xml:space="preserve"> but </w:t>
      </w:r>
      <w:r w:rsidR="001A3A46" w:rsidRPr="00390B67">
        <w:t xml:space="preserve">because </w:t>
      </w:r>
      <w:r w:rsidR="00E91456">
        <w:t>of</w:t>
      </w:r>
      <w:r w:rsidR="001A3A46" w:rsidRPr="00390B67">
        <w:t xml:space="preserve"> external events and</w:t>
      </w:r>
      <w:r w:rsidR="003F3900">
        <w:t xml:space="preserve"> vested</w:t>
      </w:r>
      <w:r w:rsidR="001A3A46" w:rsidRPr="00390B67">
        <w:t xml:space="preserve"> interests</w:t>
      </w:r>
      <w:r w:rsidR="008D673F">
        <w:t xml:space="preserve"> that lie</w:t>
      </w:r>
      <w:r w:rsidR="001A3A46" w:rsidRPr="00390B67">
        <w:t xml:space="preserve"> outside the promoter’s control. Hence</w:t>
      </w:r>
      <w:r w:rsidR="0065077A">
        <w:t>, in the second</w:t>
      </w:r>
      <w:r w:rsidR="00CE3CA4">
        <w:t xml:space="preserve"> view, the</w:t>
      </w:r>
      <w:r w:rsidR="001A3A46" w:rsidRPr="00390B67">
        <w:t xml:space="preserve"> promoters are</w:t>
      </w:r>
      <w:r w:rsidR="008D673F">
        <w:t xml:space="preserve"> </w:t>
      </w:r>
      <w:r w:rsidR="001A3A46" w:rsidRPr="00390B67">
        <w:t>hostage to project pathologies including scope creep</w:t>
      </w:r>
      <w:r w:rsidR="003F3900">
        <w:t xml:space="preserve"> </w:t>
      </w:r>
      <w:r w:rsidR="00BE714E">
        <w:t>and</w:t>
      </w:r>
      <w:r w:rsidR="003F3900">
        <w:t xml:space="preserve"> </w:t>
      </w:r>
      <w:r w:rsidR="00EC3EEE">
        <w:t xml:space="preserve">collective </w:t>
      </w:r>
      <w:r w:rsidR="003F3900">
        <w:t>inflationary consensus</w:t>
      </w:r>
      <w:r w:rsidR="00060E9E">
        <w:t xml:space="preserve"> </w:t>
      </w:r>
      <w:r w:rsidR="001A3A46" w:rsidRPr="00390B67">
        <w:t>(</w:t>
      </w:r>
      <w:r w:rsidR="001A3A46" w:rsidRPr="00390B67">
        <w:rPr>
          <w:rStyle w:val="Strong"/>
        </w:rPr>
        <w:t xml:space="preserve">Hall </w:t>
      </w:r>
      <w:r w:rsidR="00B2049C" w:rsidRPr="00390B67">
        <w:rPr>
          <w:rStyle w:val="Strong"/>
        </w:rPr>
        <w:t>19</w:t>
      </w:r>
      <w:r w:rsidR="00B2049C">
        <w:rPr>
          <w:rStyle w:val="Strong"/>
        </w:rPr>
        <w:t>7</w:t>
      </w:r>
      <w:r w:rsidR="00B2049C" w:rsidRPr="00390B67">
        <w:rPr>
          <w:rStyle w:val="Strong"/>
        </w:rPr>
        <w:t>2</w:t>
      </w:r>
      <w:r w:rsidR="001A3A46" w:rsidRPr="00390B67">
        <w:rPr>
          <w:rStyle w:val="Strong"/>
        </w:rPr>
        <w:t xml:space="preserve">, </w:t>
      </w:r>
      <w:r w:rsidR="001A3A46" w:rsidRPr="00390B67">
        <w:t xml:space="preserve">Shapiro and Lorenz 2000, </w:t>
      </w:r>
      <w:proofErr w:type="spellStart"/>
      <w:r w:rsidR="001A3A46" w:rsidRPr="00390B67">
        <w:t>Altshuler</w:t>
      </w:r>
      <w:proofErr w:type="spellEnd"/>
      <w:r w:rsidR="001A3A46" w:rsidRPr="00390B67">
        <w:t xml:space="preserve"> and </w:t>
      </w:r>
      <w:proofErr w:type="spellStart"/>
      <w:r w:rsidR="001A3A46" w:rsidRPr="00390B67">
        <w:t>Luberoff</w:t>
      </w:r>
      <w:proofErr w:type="spellEnd"/>
      <w:r w:rsidR="001A3A46" w:rsidRPr="00390B67">
        <w:t xml:space="preserve"> 2003, Miller and </w:t>
      </w:r>
      <w:proofErr w:type="spellStart"/>
      <w:r w:rsidR="001A3A46" w:rsidRPr="00390B67">
        <w:t>Lessard</w:t>
      </w:r>
      <w:proofErr w:type="spellEnd"/>
      <w:r w:rsidR="001A3A46" w:rsidRPr="00390B67">
        <w:t xml:space="preserve"> 2000</w:t>
      </w:r>
      <w:r w:rsidR="00B2049C">
        <w:t>, Gil and Tether 2011</w:t>
      </w:r>
      <w:r w:rsidR="00BE714E">
        <w:t>)</w:t>
      </w:r>
      <w:r w:rsidR="000D2E0D">
        <w:t xml:space="preserve"> </w:t>
      </w:r>
      <w:proofErr w:type="gramStart"/>
      <w:r w:rsidR="000D2E0D">
        <w:t>and</w:t>
      </w:r>
      <w:r w:rsidR="00654E3B">
        <w:t xml:space="preserve"> </w:t>
      </w:r>
      <w:r w:rsidR="00BE714E">
        <w:t xml:space="preserve"> </w:t>
      </w:r>
      <w:r w:rsidR="001A3A46" w:rsidRPr="00390B67">
        <w:t>escalation</w:t>
      </w:r>
      <w:proofErr w:type="gramEnd"/>
      <w:r w:rsidR="001A3A46" w:rsidRPr="00390B67">
        <w:t xml:space="preserve"> of commitment</w:t>
      </w:r>
      <w:r w:rsidR="000D2E0D">
        <w:t xml:space="preserve"> to a losing course of action</w:t>
      </w:r>
      <w:r w:rsidR="00901C17">
        <w:t xml:space="preserve"> </w:t>
      </w:r>
      <w:r w:rsidR="001A3A46" w:rsidRPr="00390B67">
        <w:t>(</w:t>
      </w:r>
      <w:proofErr w:type="spellStart"/>
      <w:r w:rsidR="00BE714E" w:rsidRPr="00390B67">
        <w:rPr>
          <w:rStyle w:val="Strong"/>
        </w:rPr>
        <w:t>Szyliowicz</w:t>
      </w:r>
      <w:proofErr w:type="spellEnd"/>
      <w:r w:rsidR="00BE714E" w:rsidRPr="00390B67">
        <w:rPr>
          <w:rStyle w:val="Strong"/>
        </w:rPr>
        <w:t xml:space="preserve"> and Goetz 1995</w:t>
      </w:r>
      <w:r w:rsidR="00BE714E">
        <w:rPr>
          <w:rStyle w:val="Strong"/>
        </w:rPr>
        <w:t xml:space="preserve">, </w:t>
      </w:r>
      <w:r w:rsidR="001A3A46" w:rsidRPr="00390B67">
        <w:t xml:space="preserve">Ross and </w:t>
      </w:r>
      <w:proofErr w:type="spellStart"/>
      <w:r w:rsidR="001A3A46" w:rsidRPr="00390B67">
        <w:t>Staw</w:t>
      </w:r>
      <w:proofErr w:type="spellEnd"/>
      <w:r w:rsidR="001A3A46" w:rsidRPr="00390B67">
        <w:t xml:space="preserve"> 1986). </w:t>
      </w:r>
    </w:p>
    <w:p w14:paraId="1373DD2D" w14:textId="42B673F6" w:rsidR="009E7AC3" w:rsidRDefault="001A3A46" w:rsidP="00EB7730">
      <w:r w:rsidRPr="00390B67">
        <w:t xml:space="preserve">Whilst </w:t>
      </w:r>
      <w:r w:rsidR="006C5D5B">
        <w:t>critical</w:t>
      </w:r>
      <w:r w:rsidR="00120E85">
        <w:t xml:space="preserve">, </w:t>
      </w:r>
      <w:r w:rsidR="005B033D" w:rsidRPr="00390B67">
        <w:t>th</w:t>
      </w:r>
      <w:r w:rsidR="005B033D">
        <w:t>e</w:t>
      </w:r>
      <w:r w:rsidR="005B033D" w:rsidRPr="00390B67">
        <w:t xml:space="preserve"> </w:t>
      </w:r>
      <w:r w:rsidRPr="00390B67">
        <w:t>debate</w:t>
      </w:r>
      <w:r w:rsidR="00120E85">
        <w:t xml:space="preserve"> on the performance of capital-intensive</w:t>
      </w:r>
      <w:r w:rsidR="00120E85" w:rsidRPr="009E77CA">
        <w:t xml:space="preserve"> </w:t>
      </w:r>
      <w:r w:rsidR="004A254F" w:rsidRPr="009E77CA">
        <w:t>projec</w:t>
      </w:r>
      <w:r w:rsidR="004A254F">
        <w:t>ts</w:t>
      </w:r>
      <w:r w:rsidR="00120E85">
        <w:t xml:space="preserve"> </w:t>
      </w:r>
      <w:r w:rsidRPr="00390B67">
        <w:t xml:space="preserve">has </w:t>
      </w:r>
      <w:r w:rsidR="006C5D5B">
        <w:t xml:space="preserve">been stuck </w:t>
      </w:r>
      <w:r w:rsidR="006C5D5B" w:rsidRPr="00FB19E3">
        <w:t>for more than</w:t>
      </w:r>
      <w:r w:rsidR="006C5D5B" w:rsidRPr="00EF5A06">
        <w:rPr>
          <w:i/>
        </w:rPr>
        <w:t xml:space="preserve"> twenty years</w:t>
      </w:r>
      <w:r w:rsidR="00FB19E3">
        <w:rPr>
          <w:i/>
        </w:rPr>
        <w:t xml:space="preserve"> </w:t>
      </w:r>
      <w:r w:rsidR="00FB19E3">
        <w:t>(Pinto and Winch 2016)</w:t>
      </w:r>
      <w:r w:rsidR="009E7AC3">
        <w:t xml:space="preserve">. </w:t>
      </w:r>
      <w:r w:rsidR="002A3B44">
        <w:t>Extant</w:t>
      </w:r>
      <w:r w:rsidR="006C5D5B">
        <w:t xml:space="preserve"> </w:t>
      </w:r>
      <w:r w:rsidR="007228C2">
        <w:t xml:space="preserve">performance </w:t>
      </w:r>
      <w:r w:rsidR="006C5D5B">
        <w:t>studies</w:t>
      </w:r>
      <w:r w:rsidRPr="009E77CA">
        <w:t xml:space="preserve"> ha</w:t>
      </w:r>
      <w:r w:rsidR="006C5D5B">
        <w:t>ve</w:t>
      </w:r>
      <w:r w:rsidRPr="009E77CA">
        <w:t xml:space="preserve"> </w:t>
      </w:r>
      <w:r w:rsidR="00654E3B">
        <w:t>employed</w:t>
      </w:r>
      <w:r w:rsidRPr="009E77CA">
        <w:t xml:space="preserve"> large datasets</w:t>
      </w:r>
      <w:r w:rsidR="002A3B44">
        <w:t xml:space="preserve"> </w:t>
      </w:r>
      <w:r w:rsidR="007228C2">
        <w:t xml:space="preserve">by </w:t>
      </w:r>
      <w:r w:rsidR="00654E3B">
        <w:t xml:space="preserve">implicitly </w:t>
      </w:r>
      <w:r w:rsidR="007228C2">
        <w:t>premising</w:t>
      </w:r>
      <w:r w:rsidR="002A3B44">
        <w:t xml:space="preserve"> that capital-intensive project</w:t>
      </w:r>
      <w:r w:rsidR="00124B73">
        <w:t>s</w:t>
      </w:r>
      <w:r w:rsidR="002A3B44">
        <w:t xml:space="preserve"> are</w:t>
      </w:r>
      <w:r w:rsidR="007228C2">
        <w:t xml:space="preserve"> </w:t>
      </w:r>
      <w:r w:rsidR="00654E3B">
        <w:t>alike</w:t>
      </w:r>
      <w:r w:rsidR="00160BC5">
        <w:t xml:space="preserve"> from an organization</w:t>
      </w:r>
      <w:r w:rsidR="0065077A">
        <w:t xml:space="preserve"> design</w:t>
      </w:r>
      <w:r w:rsidR="00160BC5">
        <w:t xml:space="preserve"> perspective</w:t>
      </w:r>
      <w:r w:rsidR="002001C0">
        <w:t xml:space="preserve"> </w:t>
      </w:r>
      <w:r w:rsidR="002A3B44">
        <w:t>(</w:t>
      </w:r>
      <w:r w:rsidR="002A3B44" w:rsidRPr="00390B67">
        <w:t xml:space="preserve">Morris 1994, Miller and </w:t>
      </w:r>
      <w:proofErr w:type="spellStart"/>
      <w:r w:rsidR="002A3B44" w:rsidRPr="00390B67">
        <w:t>Lessard</w:t>
      </w:r>
      <w:proofErr w:type="spellEnd"/>
      <w:r w:rsidR="002A3B44" w:rsidRPr="00390B67">
        <w:t xml:space="preserve"> 2000, Flyvbjerg et al. 2003, </w:t>
      </w:r>
      <w:proofErr w:type="spellStart"/>
      <w:r w:rsidR="002A3B44" w:rsidRPr="00390B67">
        <w:t>Merrow</w:t>
      </w:r>
      <w:proofErr w:type="spellEnd"/>
      <w:r w:rsidR="00B2049C">
        <w:t xml:space="preserve"> et al.</w:t>
      </w:r>
      <w:r w:rsidR="002A3B44" w:rsidRPr="00390B67">
        <w:t xml:space="preserve"> </w:t>
      </w:r>
      <w:r w:rsidR="002A3B44">
        <w:t>1988</w:t>
      </w:r>
      <w:r w:rsidR="002A3B44" w:rsidRPr="00390B67">
        <w:t>)</w:t>
      </w:r>
      <w:r w:rsidR="002A3B44">
        <w:t>.</w:t>
      </w:r>
      <w:r w:rsidRPr="009E77CA">
        <w:t xml:space="preserve"> </w:t>
      </w:r>
      <w:r w:rsidR="007228C2">
        <w:t>Specifically,</w:t>
      </w:r>
      <w:r w:rsidR="002A3B44">
        <w:t xml:space="preserve"> this work assumes</w:t>
      </w:r>
      <w:r w:rsidR="00D30288">
        <w:t xml:space="preserve"> that</w:t>
      </w:r>
      <w:r w:rsidR="002A3B44">
        <w:t xml:space="preserve"> </w:t>
      </w:r>
      <w:r w:rsidR="007228C2">
        <w:t>project organizations are</w:t>
      </w:r>
      <w:r w:rsidR="000F71E3">
        <w:t xml:space="preserve"> </w:t>
      </w:r>
      <w:r w:rsidR="007228C2">
        <w:t>authority hierarchies</w:t>
      </w:r>
      <w:r w:rsidR="00174CA9">
        <w:t xml:space="preserve"> </w:t>
      </w:r>
      <w:r w:rsidR="003E3B35">
        <w:t>led by a</w:t>
      </w:r>
      <w:r w:rsidR="00CE3CA4">
        <w:t xml:space="preserve"> </w:t>
      </w:r>
      <w:r w:rsidR="007228C2">
        <w:t>promoter</w:t>
      </w:r>
      <w:r w:rsidR="003B4ED6">
        <w:t xml:space="preserve"> </w:t>
      </w:r>
      <w:r w:rsidR="00CD744D">
        <w:t>vested with</w:t>
      </w:r>
      <w:r w:rsidR="003B4ED6">
        <w:t xml:space="preserve"> </w:t>
      </w:r>
      <w:r w:rsidR="00CD744D">
        <w:t>centralised</w:t>
      </w:r>
      <w:r w:rsidR="003B4ED6">
        <w:t xml:space="preserve"> </w:t>
      </w:r>
      <w:r w:rsidR="002A3B44">
        <w:t>control</w:t>
      </w:r>
      <w:r w:rsidR="003B4ED6">
        <w:t xml:space="preserve"> over </w:t>
      </w:r>
      <w:r w:rsidR="000D2E0D">
        <w:t xml:space="preserve">the final </w:t>
      </w:r>
      <w:r w:rsidR="00CE3CA4">
        <w:t>planning</w:t>
      </w:r>
      <w:r w:rsidR="002A3B44">
        <w:t xml:space="preserve"> </w:t>
      </w:r>
      <w:r w:rsidR="00EE4812">
        <w:t>choices</w:t>
      </w:r>
      <w:r w:rsidR="002A3B44">
        <w:t>.</w:t>
      </w:r>
      <w:r w:rsidR="001738F1">
        <w:t xml:space="preserve"> </w:t>
      </w:r>
      <w:r w:rsidR="004234F7">
        <w:t>Building on this</w:t>
      </w:r>
      <w:r w:rsidR="000D2E0D">
        <w:t xml:space="preserve"> </w:t>
      </w:r>
      <w:r w:rsidR="004234F7">
        <w:t xml:space="preserve">assumption, </w:t>
      </w:r>
      <w:r w:rsidR="00CE3CA4">
        <w:t>this work</w:t>
      </w:r>
      <w:r w:rsidR="002A3B44">
        <w:t xml:space="preserve"> </w:t>
      </w:r>
      <w:r w:rsidR="00CE3CA4">
        <w:t xml:space="preserve">has </w:t>
      </w:r>
      <w:r w:rsidR="00E91456">
        <w:t>confirm</w:t>
      </w:r>
      <w:r w:rsidR="002A3B44">
        <w:t>ed</w:t>
      </w:r>
      <w:r w:rsidR="006C5D5B">
        <w:t xml:space="preserve"> </w:t>
      </w:r>
      <w:r w:rsidR="008B7671">
        <w:t xml:space="preserve">empirical </w:t>
      </w:r>
      <w:r w:rsidR="006C5D5B">
        <w:t>regularities</w:t>
      </w:r>
      <w:r w:rsidR="00901C17">
        <w:t xml:space="preserve"> </w:t>
      </w:r>
      <w:r w:rsidR="004A254F">
        <w:t>on</w:t>
      </w:r>
      <w:r w:rsidR="00901C17">
        <w:t xml:space="preserve"> performance</w:t>
      </w:r>
      <w:r w:rsidR="000D2E0D">
        <w:t xml:space="preserve"> slippages</w:t>
      </w:r>
      <w:r w:rsidR="00CE3CA4">
        <w:t>.</w:t>
      </w:r>
      <w:r w:rsidR="004234F7">
        <w:t xml:space="preserve"> </w:t>
      </w:r>
      <w:r w:rsidR="008B7671">
        <w:t>However</w:t>
      </w:r>
      <w:r w:rsidR="00654E3B">
        <w:t>,</w:t>
      </w:r>
      <w:r w:rsidR="00CE3CA4">
        <w:t xml:space="preserve"> it</w:t>
      </w:r>
      <w:r w:rsidR="008B4C94">
        <w:t xml:space="preserve"> </w:t>
      </w:r>
      <w:r w:rsidR="00EE4812">
        <w:t xml:space="preserve">has </w:t>
      </w:r>
      <w:r w:rsidRPr="009E77CA">
        <w:t>rarely allowed</w:t>
      </w:r>
      <w:r w:rsidR="00BE714E">
        <w:t xml:space="preserve"> </w:t>
      </w:r>
      <w:r w:rsidR="00654E3B">
        <w:t xml:space="preserve">theorists the ability </w:t>
      </w:r>
      <w:r w:rsidR="00BE714E">
        <w:t>to</w:t>
      </w:r>
      <w:r w:rsidRPr="009E77CA">
        <w:t xml:space="preserve"> ‘div</w:t>
      </w:r>
      <w:r w:rsidR="00BE714E">
        <w:t>e</w:t>
      </w:r>
      <w:r w:rsidRPr="009E77CA">
        <w:t xml:space="preserve"> down’ into</w:t>
      </w:r>
      <w:r w:rsidR="00BE714E">
        <w:t xml:space="preserve"> </w:t>
      </w:r>
      <w:r w:rsidRPr="009E77CA">
        <w:t>projects</w:t>
      </w:r>
      <w:r w:rsidR="00901C17">
        <w:t xml:space="preserve">. </w:t>
      </w:r>
      <w:r w:rsidR="00B2049C">
        <w:t>As a result</w:t>
      </w:r>
      <w:r w:rsidR="008B7671">
        <w:t>,</w:t>
      </w:r>
      <w:r w:rsidR="005B033D">
        <w:t xml:space="preserve"> </w:t>
      </w:r>
      <w:r w:rsidR="00120E85">
        <w:t>as Pinto and Winch (2016) p</w:t>
      </w:r>
      <w:r w:rsidR="009E7AC3">
        <w:t>ut it</w:t>
      </w:r>
      <w:r w:rsidR="004A254F">
        <w:t xml:space="preserve"> recently</w:t>
      </w:r>
      <w:r w:rsidR="00DC198C">
        <w:t>,</w:t>
      </w:r>
      <w:r w:rsidR="00120E85">
        <w:t xml:space="preserve"> ‘</w:t>
      </w:r>
      <w:r w:rsidR="005B033D">
        <w:t>[</w:t>
      </w:r>
      <w:r w:rsidR="009E7AC3">
        <w:t>planning] remains a ‘black box’.</w:t>
      </w:r>
    </w:p>
    <w:p w14:paraId="174585ED" w14:textId="088EC1DF" w:rsidR="00E02E0E" w:rsidRDefault="009E7AC3" w:rsidP="00E02E0E">
      <w:r>
        <w:t xml:space="preserve">In this study we </w:t>
      </w:r>
      <w:r w:rsidR="00120E85">
        <w:t>propose to move</w:t>
      </w:r>
      <w:r w:rsidR="00060E9E">
        <w:t xml:space="preserve"> </w:t>
      </w:r>
      <w:r w:rsidR="00E214E7">
        <w:t xml:space="preserve">forward </w:t>
      </w:r>
      <w:r w:rsidR="00060E9E">
        <w:t xml:space="preserve">the </w:t>
      </w:r>
      <w:r w:rsidR="00DC198C">
        <w:t xml:space="preserve">performance </w:t>
      </w:r>
      <w:r>
        <w:t>debate</w:t>
      </w:r>
      <w:r w:rsidR="00060E9E">
        <w:t xml:space="preserve"> </w:t>
      </w:r>
      <w:r>
        <w:t>by</w:t>
      </w:r>
      <w:r w:rsidR="00060E9E">
        <w:t xml:space="preserve"> </w:t>
      </w:r>
      <w:r w:rsidR="003B4ED6">
        <w:t xml:space="preserve">examining the planning of capital-intensive projects from </w:t>
      </w:r>
      <w:r w:rsidR="00060E9E">
        <w:t xml:space="preserve">an organization design </w:t>
      </w:r>
      <w:r w:rsidR="003B4ED6">
        <w:t>perspective</w:t>
      </w:r>
      <w:r w:rsidR="00060E9E">
        <w:t xml:space="preserve">. This cognitive lens focuses on establishing relationships between </w:t>
      </w:r>
      <w:r w:rsidR="00B87FB6">
        <w:t>organisational</w:t>
      </w:r>
      <w:r w:rsidR="00060E9E">
        <w:t xml:space="preserve"> </w:t>
      </w:r>
      <w:r w:rsidR="00B87FB6">
        <w:t>structure</w:t>
      </w:r>
      <w:r w:rsidR="00060E9E">
        <w:t xml:space="preserve"> and </w:t>
      </w:r>
      <w:r w:rsidR="00174CA9">
        <w:t xml:space="preserve">organizational </w:t>
      </w:r>
      <w:r w:rsidR="00B87FB6">
        <w:t>performance</w:t>
      </w:r>
      <w:r w:rsidR="00060E9E">
        <w:t xml:space="preserve"> (</w:t>
      </w:r>
      <w:r w:rsidR="00F57009">
        <w:t>March and Simon</w:t>
      </w:r>
      <w:r w:rsidR="003E3B35">
        <w:t xml:space="preserve"> </w:t>
      </w:r>
      <w:r w:rsidR="00F57009">
        <w:t>1958, March and Sutton 1997</w:t>
      </w:r>
      <w:r w:rsidR="00060E9E">
        <w:t xml:space="preserve">). </w:t>
      </w:r>
      <w:r w:rsidR="00174CA9">
        <w:t xml:space="preserve">Structure </w:t>
      </w:r>
      <w:r w:rsidR="00BE714E">
        <w:t xml:space="preserve">relates </w:t>
      </w:r>
      <w:r w:rsidR="00174CA9">
        <w:t>to</w:t>
      </w:r>
      <w:r w:rsidR="00060E9E">
        <w:t xml:space="preserve"> th</w:t>
      </w:r>
      <w:r w:rsidR="00B87FB6">
        <w:t>e</w:t>
      </w:r>
      <w:r w:rsidR="00060E9E">
        <w:t xml:space="preserve"> </w:t>
      </w:r>
      <w:r w:rsidR="00F57009">
        <w:t xml:space="preserve">designed </w:t>
      </w:r>
      <w:r w:rsidR="00060E9E">
        <w:t>arrangements that enable and constrain collective action</w:t>
      </w:r>
      <w:r w:rsidR="003B4ED6">
        <w:t>,</w:t>
      </w:r>
      <w:r w:rsidR="00060E9E">
        <w:t xml:space="preserve"> </w:t>
      </w:r>
      <w:r w:rsidR="008B4C94">
        <w:t xml:space="preserve">this is, the arrangements that </w:t>
      </w:r>
      <w:r w:rsidR="00CD744D">
        <w:t>define roles</w:t>
      </w:r>
      <w:r w:rsidR="003B4ED6">
        <w:t xml:space="preserve"> and </w:t>
      </w:r>
      <w:r w:rsidR="001738F1">
        <w:t xml:space="preserve">assign </w:t>
      </w:r>
      <w:r w:rsidR="003B4ED6">
        <w:t xml:space="preserve">authority to make </w:t>
      </w:r>
      <w:r w:rsidR="003A0D43" w:rsidRPr="00702361">
        <w:lastRenderedPageBreak/>
        <w:t>decision</w:t>
      </w:r>
      <w:r w:rsidR="001738F1">
        <w:t>s</w:t>
      </w:r>
      <w:r w:rsidR="00CD744D">
        <w:t xml:space="preserve"> on</w:t>
      </w:r>
      <w:r w:rsidR="001738F1">
        <w:t xml:space="preserve"> how to allocate</w:t>
      </w:r>
      <w:r w:rsidR="00CD744D">
        <w:t xml:space="preserve"> </w:t>
      </w:r>
      <w:r w:rsidR="001738F1">
        <w:t xml:space="preserve">resources </w:t>
      </w:r>
      <w:r w:rsidR="003B4ED6">
        <w:t xml:space="preserve">and </w:t>
      </w:r>
      <w:r w:rsidR="003A0D43" w:rsidRPr="00702361">
        <w:t>resolve disputes</w:t>
      </w:r>
      <w:r w:rsidR="008B4C94">
        <w:t xml:space="preserve"> between organizational participants</w:t>
      </w:r>
      <w:r w:rsidR="003A0D43" w:rsidRPr="00702361">
        <w:t xml:space="preserve"> (</w:t>
      </w:r>
      <w:r w:rsidR="003B4ED6">
        <w:t xml:space="preserve">March and Simon 1958, </w:t>
      </w:r>
      <w:r w:rsidR="003A0D43" w:rsidRPr="00702361">
        <w:t xml:space="preserve">Lawrence and </w:t>
      </w:r>
      <w:proofErr w:type="spellStart"/>
      <w:r w:rsidR="003A0D43" w:rsidRPr="00702361">
        <w:t>Lorsch</w:t>
      </w:r>
      <w:proofErr w:type="spellEnd"/>
      <w:r w:rsidR="003A0D43" w:rsidRPr="00702361">
        <w:t xml:space="preserve"> 1967, </w:t>
      </w:r>
      <w:r w:rsidR="00CD744D">
        <w:t xml:space="preserve">Scott </w:t>
      </w:r>
      <w:r w:rsidR="00B2049C">
        <w:t>1987</w:t>
      </w:r>
      <w:r w:rsidR="003A0D43" w:rsidRPr="00702361">
        <w:t>).</w:t>
      </w:r>
    </w:p>
    <w:p w14:paraId="507CBF54" w14:textId="11A55EAA" w:rsidR="004F01EC" w:rsidRDefault="00060E9E" w:rsidP="00943603">
      <w:r>
        <w:t xml:space="preserve"> </w:t>
      </w:r>
      <w:r w:rsidR="00E02E0E">
        <w:t xml:space="preserve">Crucially, an </w:t>
      </w:r>
      <w:r w:rsidR="004F01EC">
        <w:t>organizational</w:t>
      </w:r>
      <w:r w:rsidR="006C2668">
        <w:t xml:space="preserve"> design</w:t>
      </w:r>
      <w:r w:rsidR="00DB00D7">
        <w:t xml:space="preserve"> </w:t>
      </w:r>
      <w:r w:rsidR="00CD744D">
        <w:t xml:space="preserve">lens challenges </w:t>
      </w:r>
      <w:r w:rsidR="00CF2BE7">
        <w:t xml:space="preserve">the </w:t>
      </w:r>
      <w:r w:rsidR="00E91456">
        <w:t>premise</w:t>
      </w:r>
      <w:r w:rsidR="00CF2BE7">
        <w:t xml:space="preserve"> that</w:t>
      </w:r>
      <w:r w:rsidR="006B0819">
        <w:t xml:space="preserve"> </w:t>
      </w:r>
      <w:r w:rsidR="00E02E0E">
        <w:t>capital-intensive projects</w:t>
      </w:r>
      <w:r w:rsidR="00CF2BE7">
        <w:t xml:space="preserve"> </w:t>
      </w:r>
      <w:r w:rsidR="00E02E0E">
        <w:t>are</w:t>
      </w:r>
      <w:r w:rsidR="00CF2BE7">
        <w:t xml:space="preserve"> </w:t>
      </w:r>
      <w:r w:rsidR="006B0819">
        <w:t xml:space="preserve">planned by </w:t>
      </w:r>
      <w:r w:rsidR="00CF2BE7">
        <w:t>auth</w:t>
      </w:r>
      <w:r w:rsidR="00E02E0E">
        <w:t xml:space="preserve">ority hierarchies </w:t>
      </w:r>
      <w:r w:rsidR="003E3B35">
        <w:t xml:space="preserve">legitimised </w:t>
      </w:r>
      <w:r w:rsidR="00E02E0E">
        <w:t>by ownership stakes</w:t>
      </w:r>
      <w:r w:rsidR="003E3B35">
        <w:t>, contracts,</w:t>
      </w:r>
      <w:r w:rsidR="00E214E7">
        <w:t xml:space="preserve"> and</w:t>
      </w:r>
      <w:r w:rsidR="00E02E0E">
        <w:t xml:space="preserve"> regulation</w:t>
      </w:r>
      <w:r w:rsidR="00CF2BE7">
        <w:t xml:space="preserve">. </w:t>
      </w:r>
      <w:r w:rsidR="00174CA9">
        <w:t xml:space="preserve">Admittedly, </w:t>
      </w:r>
      <w:r w:rsidR="004C5EC7">
        <w:t>multiple</w:t>
      </w:r>
      <w:r w:rsidR="006B0819">
        <w:t xml:space="preserve"> accounts </w:t>
      </w:r>
      <w:r w:rsidR="00174CA9">
        <w:t xml:space="preserve">show </w:t>
      </w:r>
      <w:r w:rsidR="006B0819">
        <w:t xml:space="preserve">that </w:t>
      </w:r>
      <w:r w:rsidR="00174CA9">
        <w:t xml:space="preserve">the </w:t>
      </w:r>
      <w:r w:rsidR="006B0819">
        <w:t>promoters</w:t>
      </w:r>
      <w:r w:rsidR="008D673F">
        <w:t xml:space="preserve"> </w:t>
      </w:r>
      <w:r w:rsidR="003E3B35">
        <w:t xml:space="preserve">have power to </w:t>
      </w:r>
      <w:r w:rsidR="006B0819">
        <w:t>unilaterally</w:t>
      </w:r>
      <w:r w:rsidR="003E3B35">
        <w:t xml:space="preserve"> set </w:t>
      </w:r>
      <w:r w:rsidR="006B0819">
        <w:t>performance targets</w:t>
      </w:r>
      <w:r w:rsidR="003E3B35">
        <w:t xml:space="preserve"> at the onset of planning</w:t>
      </w:r>
      <w:r w:rsidR="004C5EC7">
        <w:t>—i</w:t>
      </w:r>
      <w:r w:rsidR="003E3B35">
        <w:t>n this regard</w:t>
      </w:r>
      <w:r w:rsidR="006B0819">
        <w:t xml:space="preserve">, </w:t>
      </w:r>
      <w:r w:rsidR="004C5EC7">
        <w:t xml:space="preserve">it is fair to say that </w:t>
      </w:r>
      <w:r w:rsidR="006B0819">
        <w:t xml:space="preserve">promoters act as an authority hierarchy. </w:t>
      </w:r>
      <w:r w:rsidR="00BB3ED4">
        <w:t>But</w:t>
      </w:r>
      <w:r w:rsidR="006B0819">
        <w:t xml:space="preserve"> p</w:t>
      </w:r>
      <w:r w:rsidR="00CF2BE7">
        <w:t>lanning</w:t>
      </w:r>
      <w:r w:rsidR="006B0819">
        <w:t xml:space="preserve"> </w:t>
      </w:r>
      <w:r w:rsidR="00BE714E">
        <w:t xml:space="preserve">is </w:t>
      </w:r>
      <w:r w:rsidR="00EE4812">
        <w:t xml:space="preserve">way </w:t>
      </w:r>
      <w:r w:rsidR="00BE714E">
        <w:t xml:space="preserve">more than </w:t>
      </w:r>
      <w:r w:rsidR="00B62137">
        <w:t xml:space="preserve">setting </w:t>
      </w:r>
      <w:r w:rsidR="00174CA9">
        <w:t xml:space="preserve">targets. </w:t>
      </w:r>
      <w:r w:rsidR="00BE714E">
        <w:t>During</w:t>
      </w:r>
      <w:r w:rsidR="006058A0">
        <w:t xml:space="preserve"> planning, the promoter has to forge a unifying system-goal with</w:t>
      </w:r>
      <w:r w:rsidR="00B62137">
        <w:t xml:space="preserve"> </w:t>
      </w:r>
      <w:r w:rsidR="006058A0">
        <w:t xml:space="preserve">multiple autonomous actors </w:t>
      </w:r>
      <w:r w:rsidR="00BE714E">
        <w:t xml:space="preserve">so as to </w:t>
      </w:r>
      <w:r w:rsidR="00B62137">
        <w:t>en</w:t>
      </w:r>
      <w:r w:rsidR="006058A0">
        <w:t>tice</w:t>
      </w:r>
      <w:r w:rsidR="00E02E0E">
        <w:t xml:space="preserve"> </w:t>
      </w:r>
      <w:r w:rsidR="008B7671">
        <w:t>them</w:t>
      </w:r>
      <w:r w:rsidR="00B47984">
        <w:t xml:space="preserve"> </w:t>
      </w:r>
      <w:r w:rsidR="00CD744D">
        <w:t xml:space="preserve">to </w:t>
      </w:r>
      <w:r w:rsidR="00B47984">
        <w:t xml:space="preserve">contribute </w:t>
      </w:r>
      <w:r w:rsidR="00CD744D">
        <w:t xml:space="preserve">resources under </w:t>
      </w:r>
      <w:r w:rsidR="001738F1">
        <w:t xml:space="preserve">their </w:t>
      </w:r>
      <w:r w:rsidR="003E3B35">
        <w:t>control</w:t>
      </w:r>
      <w:r w:rsidR="00B47984">
        <w:t xml:space="preserve"> </w:t>
      </w:r>
      <w:r w:rsidR="00CF2BE7">
        <w:t xml:space="preserve">to </w:t>
      </w:r>
      <w:r w:rsidR="004A254F">
        <w:t xml:space="preserve">the </w:t>
      </w:r>
      <w:r w:rsidR="00BE714E">
        <w:t>project</w:t>
      </w:r>
      <w:r w:rsidR="000D2E0D">
        <w:t xml:space="preserve"> </w:t>
      </w:r>
      <w:r w:rsidR="00CF2BE7">
        <w:t>(</w:t>
      </w:r>
      <w:proofErr w:type="spellStart"/>
      <w:r w:rsidR="00585BCA">
        <w:t>Lundrigan</w:t>
      </w:r>
      <w:proofErr w:type="spellEnd"/>
      <w:r w:rsidR="00585BCA">
        <w:t xml:space="preserve"> et al. 2015</w:t>
      </w:r>
      <w:r w:rsidR="00CF2BE7">
        <w:t>).</w:t>
      </w:r>
      <w:r w:rsidR="006B0819">
        <w:t xml:space="preserve"> </w:t>
      </w:r>
      <w:r w:rsidR="00CF2BE7">
        <w:t>As such</w:t>
      </w:r>
      <w:r w:rsidR="00E40889">
        <w:t>,</w:t>
      </w:r>
      <w:r w:rsidR="00CF2BE7">
        <w:t xml:space="preserve"> planning occurs </w:t>
      </w:r>
      <w:r w:rsidR="00CF2BE7" w:rsidRPr="00AD609F">
        <w:rPr>
          <w:i/>
        </w:rPr>
        <w:t>before</w:t>
      </w:r>
      <w:r w:rsidR="004F01EC">
        <w:t xml:space="preserve"> </w:t>
      </w:r>
      <w:r w:rsidR="003E3B35">
        <w:t>the promoter has</w:t>
      </w:r>
      <w:r w:rsidR="000D2E0D">
        <w:t xml:space="preserve"> </w:t>
      </w:r>
      <w:r w:rsidR="003A0D43" w:rsidRPr="00390B67">
        <w:t>‘simulate</w:t>
      </w:r>
      <w:r w:rsidR="004F01EC">
        <w:t>d</w:t>
      </w:r>
      <w:r w:rsidR="003A0D43" w:rsidRPr="00390B67">
        <w:t xml:space="preserve">’ </w:t>
      </w:r>
      <w:r w:rsidR="003E3B35">
        <w:t>an</w:t>
      </w:r>
      <w:r w:rsidR="00CF2BE7">
        <w:t xml:space="preserve"> </w:t>
      </w:r>
      <w:r w:rsidR="003E3B35">
        <w:t>authority hierarchy</w:t>
      </w:r>
      <w:r w:rsidR="003E3B35" w:rsidRPr="00390B67">
        <w:t xml:space="preserve"> </w:t>
      </w:r>
      <w:r w:rsidR="004F01EC">
        <w:t>through</w:t>
      </w:r>
      <w:r w:rsidR="008B4C94">
        <w:t xml:space="preserve"> </w:t>
      </w:r>
      <w:r w:rsidR="003E3B35">
        <w:t xml:space="preserve">development agreements </w:t>
      </w:r>
      <w:r w:rsidR="007228C2">
        <w:t xml:space="preserve">and </w:t>
      </w:r>
      <w:r w:rsidR="003E3B35">
        <w:t>buyer-supplier contracts</w:t>
      </w:r>
      <w:r w:rsidR="004A254F">
        <w:t xml:space="preserve"> </w:t>
      </w:r>
      <w:r w:rsidR="004A254F" w:rsidRPr="00390B67">
        <w:t>(</w:t>
      </w:r>
      <w:proofErr w:type="spellStart"/>
      <w:r w:rsidR="004A254F" w:rsidRPr="00390B67">
        <w:t>Stichcombe</w:t>
      </w:r>
      <w:proofErr w:type="spellEnd"/>
      <w:r w:rsidR="004A254F" w:rsidRPr="00390B67">
        <w:t xml:space="preserve"> and </w:t>
      </w:r>
      <w:proofErr w:type="spellStart"/>
      <w:r w:rsidR="004A254F" w:rsidRPr="00390B67">
        <w:t>Heimer</w:t>
      </w:r>
      <w:proofErr w:type="spellEnd"/>
      <w:r w:rsidR="004A254F" w:rsidRPr="00390B67">
        <w:t xml:space="preserve"> 1985)</w:t>
      </w:r>
      <w:r w:rsidR="00160BC5">
        <w:t>.</w:t>
      </w:r>
      <w:r w:rsidR="004F01EC">
        <w:t xml:space="preserve"> </w:t>
      </w:r>
      <w:r w:rsidR="008B7671">
        <w:t>Rather,</w:t>
      </w:r>
      <w:r w:rsidR="004F01EC">
        <w:t xml:space="preserve"> </w:t>
      </w:r>
      <w:r w:rsidR="003A0D43">
        <w:t>planning</w:t>
      </w:r>
      <w:r w:rsidR="00E02E0E">
        <w:t xml:space="preserve"> </w:t>
      </w:r>
      <w:r w:rsidR="003A0D43">
        <w:t xml:space="preserve">occurs within a </w:t>
      </w:r>
      <w:r w:rsidR="003A0D43" w:rsidRPr="00390B67">
        <w:t>‘pluralist</w:t>
      </w:r>
      <w:r w:rsidR="00E91456">
        <w:t>’</w:t>
      </w:r>
      <w:r w:rsidR="003A0D43" w:rsidRPr="00390B67">
        <w:t xml:space="preserve"> setting in which</w:t>
      </w:r>
      <w:r w:rsidR="0065077A">
        <w:t xml:space="preserve"> </w:t>
      </w:r>
      <w:r w:rsidR="003E3B35">
        <w:t xml:space="preserve">the </w:t>
      </w:r>
      <w:r w:rsidR="00DC198C">
        <w:t>authority</w:t>
      </w:r>
      <w:r w:rsidR="00B62137">
        <w:t xml:space="preserve"> to make decisions</w:t>
      </w:r>
      <w:r w:rsidR="003E3B35">
        <w:t xml:space="preserve"> </w:t>
      </w:r>
      <w:r w:rsidR="003A0D43" w:rsidRPr="00390B67">
        <w:t xml:space="preserve">is diffused </w:t>
      </w:r>
      <w:r w:rsidR="00B62137" w:rsidRPr="00390B67">
        <w:t>(Denis et al. 2011)</w:t>
      </w:r>
      <w:r w:rsidR="003A0D43" w:rsidRPr="00390B67">
        <w:t xml:space="preserve">. In </w:t>
      </w:r>
      <w:r w:rsidR="006C2668">
        <w:t>pluralistic</w:t>
      </w:r>
      <w:r w:rsidR="003A0D43" w:rsidRPr="00390B67">
        <w:t xml:space="preserve"> settings</w:t>
      </w:r>
      <w:r w:rsidR="003A0D43">
        <w:t>,</w:t>
      </w:r>
      <w:r w:rsidR="003A0D43" w:rsidRPr="00390B67">
        <w:t xml:space="preserve"> a dominant coalition</w:t>
      </w:r>
      <w:r w:rsidR="00B62137">
        <w:t xml:space="preserve"> </w:t>
      </w:r>
      <w:r w:rsidR="003A0D43" w:rsidRPr="00390B67">
        <w:t>can rarely mobilize sufficient power to impose their perspective on others</w:t>
      </w:r>
      <w:r w:rsidR="003E3B35">
        <w:t xml:space="preserve"> </w:t>
      </w:r>
      <w:r w:rsidR="003A0D43">
        <w:t>(</w:t>
      </w:r>
      <w:r w:rsidR="003A0D43" w:rsidRPr="00390B67">
        <w:t>Pettigrew 1973)</w:t>
      </w:r>
      <w:r w:rsidR="003A0D43">
        <w:t xml:space="preserve">. </w:t>
      </w:r>
      <w:r w:rsidR="00E40889">
        <w:t>Instead</w:t>
      </w:r>
      <w:r w:rsidR="00EC3EEE">
        <w:t xml:space="preserve">, </w:t>
      </w:r>
      <w:r w:rsidR="007228C2">
        <w:t xml:space="preserve">major </w:t>
      </w:r>
      <w:r w:rsidR="00EC3EEE">
        <w:t xml:space="preserve">decisions require </w:t>
      </w:r>
      <w:r w:rsidR="00F52E23">
        <w:t xml:space="preserve">extensive communication </w:t>
      </w:r>
      <w:r w:rsidR="00EC3EEE">
        <w:t>between self-</w:t>
      </w:r>
      <w:r w:rsidR="00EC3EEE" w:rsidRPr="00390B67">
        <w:t>interested agents</w:t>
      </w:r>
      <w:r w:rsidR="003E3B35">
        <w:t xml:space="preserve"> </w:t>
      </w:r>
      <w:r w:rsidR="00EC3EEE" w:rsidRPr="00390B67">
        <w:t>to resolve</w:t>
      </w:r>
      <w:r w:rsidR="00EC3EEE">
        <w:t xml:space="preserve"> </w:t>
      </w:r>
      <w:r w:rsidR="00EC3EEE" w:rsidRPr="00390B67">
        <w:t xml:space="preserve">disputes rooted in cognitive differences, competing norms, and conflicting </w:t>
      </w:r>
      <w:r w:rsidR="00EC3EEE">
        <w:t>goals</w:t>
      </w:r>
      <w:r w:rsidR="00CD744D">
        <w:t xml:space="preserve"> and interests</w:t>
      </w:r>
      <w:r w:rsidR="00EC3EEE">
        <w:t xml:space="preserve"> </w:t>
      </w:r>
      <w:r w:rsidR="00EC3EEE" w:rsidRPr="00390B67">
        <w:t>(</w:t>
      </w:r>
      <w:proofErr w:type="spellStart"/>
      <w:r w:rsidR="00EC3EEE" w:rsidRPr="00222B05">
        <w:t>Jarzabkowski</w:t>
      </w:r>
      <w:proofErr w:type="spellEnd"/>
      <w:r w:rsidR="00EC3EEE" w:rsidRPr="00222B05">
        <w:t xml:space="preserve"> and Fenton</w:t>
      </w:r>
      <w:r w:rsidR="00EC3EEE">
        <w:t xml:space="preserve"> 2006</w:t>
      </w:r>
      <w:r w:rsidR="00EC3EEE" w:rsidRPr="00390B67">
        <w:t>).</w:t>
      </w:r>
      <w:r w:rsidR="00EC3EEE">
        <w:t xml:space="preserve"> </w:t>
      </w:r>
      <w:r w:rsidR="00F52E23">
        <w:t>Hence</w:t>
      </w:r>
      <w:r w:rsidR="00FB19E3">
        <w:t>,</w:t>
      </w:r>
      <w:r w:rsidR="00F52E23">
        <w:t xml:space="preserve"> major</w:t>
      </w:r>
      <w:r w:rsidR="009921F4">
        <w:t xml:space="preserve"> deci</w:t>
      </w:r>
      <w:r w:rsidR="004F01EC">
        <w:t>sions</w:t>
      </w:r>
      <w:r w:rsidR="00B12E4A">
        <w:t xml:space="preserve"> under pluralism</w:t>
      </w:r>
      <w:r w:rsidR="004F01EC">
        <w:t xml:space="preserve"> </w:t>
      </w:r>
      <w:r w:rsidR="00F52E23">
        <w:t xml:space="preserve">are </w:t>
      </w:r>
      <w:r w:rsidR="00EC3EEE" w:rsidRPr="00222B05">
        <w:t>inherently political</w:t>
      </w:r>
      <w:r w:rsidR="00EC3EEE">
        <w:t xml:space="preserve"> and involv</w:t>
      </w:r>
      <w:r w:rsidR="007228C2">
        <w:t>e</w:t>
      </w:r>
      <w:r w:rsidR="00F52E23">
        <w:t>,</w:t>
      </w:r>
      <w:r w:rsidR="00DB00D7">
        <w:t xml:space="preserve"> </w:t>
      </w:r>
      <w:r w:rsidR="00EC3EEE">
        <w:t>perforce</w:t>
      </w:r>
      <w:r w:rsidR="00F52E23">
        <w:t>,</w:t>
      </w:r>
      <w:r w:rsidR="00EC3EEE">
        <w:t xml:space="preserve"> </w:t>
      </w:r>
      <w:r w:rsidR="0065077A">
        <w:t xml:space="preserve">a </w:t>
      </w:r>
      <w:r w:rsidR="00DB00D7">
        <w:t xml:space="preserve">search for </w:t>
      </w:r>
      <w:r w:rsidR="000D2E0D">
        <w:t>consensual solutions</w:t>
      </w:r>
      <w:r w:rsidR="00DB00D7">
        <w:t xml:space="preserve">. </w:t>
      </w:r>
    </w:p>
    <w:p w14:paraId="2ED93FB8" w14:textId="102D4D18" w:rsidR="003A0D43" w:rsidRDefault="009921F4" w:rsidP="00BA50C1">
      <w:r>
        <w:t xml:space="preserve">This understanding </w:t>
      </w:r>
      <w:r w:rsidR="00FB19E3">
        <w:t>that</w:t>
      </w:r>
      <w:r w:rsidR="003E3B35">
        <w:t xml:space="preserve"> disputes are </w:t>
      </w:r>
      <w:r w:rsidR="00AA6DB3">
        <w:t>endemic to</w:t>
      </w:r>
      <w:r w:rsidR="003E3B35">
        <w:t xml:space="preserve"> the</w:t>
      </w:r>
      <w:r>
        <w:t xml:space="preserve"> pluralisti</w:t>
      </w:r>
      <w:r w:rsidR="006C2668">
        <w:t>c</w:t>
      </w:r>
      <w:r w:rsidR="003E3B35">
        <w:t xml:space="preserve"> </w:t>
      </w:r>
      <w:r w:rsidR="00CD744D">
        <w:t>planning</w:t>
      </w:r>
      <w:r w:rsidR="003E3B35">
        <w:t xml:space="preserve"> stage</w:t>
      </w:r>
      <w:r w:rsidR="008B4C94">
        <w:t xml:space="preserve"> of capital-intensive projects</w:t>
      </w:r>
      <w:r w:rsidR="006C2668">
        <w:t xml:space="preserve"> </w:t>
      </w:r>
      <w:r w:rsidR="00F57009">
        <w:t>is instructive</w:t>
      </w:r>
      <w:r w:rsidR="000D2E0D">
        <w:t>,</w:t>
      </w:r>
      <w:r w:rsidR="00E40889">
        <w:t xml:space="preserve"> b</w:t>
      </w:r>
      <w:r w:rsidR="008B4C94">
        <w:t xml:space="preserve">ut </w:t>
      </w:r>
      <w:r w:rsidR="00F57009">
        <w:t xml:space="preserve">leaves outstanding </w:t>
      </w:r>
      <w:r>
        <w:t xml:space="preserve">the </w:t>
      </w:r>
      <w:r w:rsidR="00F57009">
        <w:t>issue as to how</w:t>
      </w:r>
      <w:r w:rsidR="004C5EC7">
        <w:t xml:space="preserve"> </w:t>
      </w:r>
      <w:r w:rsidR="000D2E0D">
        <w:t xml:space="preserve">the design of the </w:t>
      </w:r>
      <w:r w:rsidR="004C5EC7">
        <w:t xml:space="preserve">project </w:t>
      </w:r>
      <w:r w:rsidR="003E3B35">
        <w:t>organization</w:t>
      </w:r>
      <w:r w:rsidR="00EE4812">
        <w:t xml:space="preserve"> </w:t>
      </w:r>
      <w:r w:rsidR="007228C2">
        <w:t>enable</w:t>
      </w:r>
      <w:r w:rsidR="00943603">
        <w:t>s</w:t>
      </w:r>
      <w:r w:rsidR="007228C2">
        <w:t xml:space="preserve"> and constrain</w:t>
      </w:r>
      <w:r w:rsidR="00943603">
        <w:t>s</w:t>
      </w:r>
      <w:r>
        <w:t xml:space="preserve"> </w:t>
      </w:r>
      <w:r w:rsidR="00F52E23">
        <w:t>the search for</w:t>
      </w:r>
      <w:r w:rsidR="00FB19E3">
        <w:t xml:space="preserve"> </w:t>
      </w:r>
      <w:r w:rsidR="00F52E23">
        <w:t>consens</w:t>
      </w:r>
      <w:r w:rsidR="00FB19E3">
        <w:t>u</w:t>
      </w:r>
      <w:r w:rsidR="00F52E23">
        <w:t>s</w:t>
      </w:r>
      <w:r w:rsidR="003E3B35">
        <w:t xml:space="preserve">. </w:t>
      </w:r>
      <w:r w:rsidR="007228C2">
        <w:t xml:space="preserve">We know that diffused </w:t>
      </w:r>
      <w:r w:rsidR="00F52E23">
        <w:t xml:space="preserve">authority </w:t>
      </w:r>
      <w:r>
        <w:t>creates management complexity. But complexity is not the</w:t>
      </w:r>
      <w:r w:rsidR="006C2668">
        <w:t xml:space="preserve"> same as chaos</w:t>
      </w:r>
      <w:r w:rsidR="00CF3C46">
        <w:t xml:space="preserve">, </w:t>
      </w:r>
      <w:r>
        <w:t>and</w:t>
      </w:r>
      <w:r w:rsidR="000F71E3">
        <w:t xml:space="preserve"> </w:t>
      </w:r>
      <w:r w:rsidR="00F76B73">
        <w:t xml:space="preserve">scholars of </w:t>
      </w:r>
      <w:r w:rsidR="007228C2">
        <w:t>consensus-oriented collective action</w:t>
      </w:r>
      <w:r w:rsidR="00F76B73">
        <w:t xml:space="preserve"> argue</w:t>
      </w:r>
      <w:r w:rsidR="00124B73">
        <w:t xml:space="preserve"> that</w:t>
      </w:r>
      <w:r w:rsidR="00F52E23">
        <w:t xml:space="preserve"> managers intuitively design</w:t>
      </w:r>
      <w:r w:rsidR="00F76B73">
        <w:t xml:space="preserve"> </w:t>
      </w:r>
      <w:r w:rsidR="006C2668">
        <w:t>structures</w:t>
      </w:r>
      <w:r w:rsidR="00185387">
        <w:t xml:space="preserve"> to </w:t>
      </w:r>
      <w:r w:rsidR="000F71E3">
        <w:t xml:space="preserve">attenuate </w:t>
      </w:r>
      <w:r w:rsidR="008B4C94">
        <w:t xml:space="preserve">the </w:t>
      </w:r>
      <w:r w:rsidR="00185387">
        <w:t>complexity</w:t>
      </w:r>
      <w:r w:rsidR="008B4C94">
        <w:t xml:space="preserve"> of pluralistic settings</w:t>
      </w:r>
      <w:r w:rsidR="007228C2">
        <w:t xml:space="preserve"> </w:t>
      </w:r>
      <w:r w:rsidR="006C2668">
        <w:lastRenderedPageBreak/>
        <w:t>(</w:t>
      </w:r>
      <w:proofErr w:type="spellStart"/>
      <w:r w:rsidR="006C2668">
        <w:t>Ostrom</w:t>
      </w:r>
      <w:proofErr w:type="spellEnd"/>
      <w:r w:rsidR="006C2668">
        <w:t xml:space="preserve"> 19</w:t>
      </w:r>
      <w:r w:rsidR="00EE24C5">
        <w:t>90</w:t>
      </w:r>
      <w:r w:rsidR="006C2668">
        <w:t>).</w:t>
      </w:r>
      <w:r w:rsidR="00DC198C">
        <w:t xml:space="preserve"> </w:t>
      </w:r>
      <w:r w:rsidR="000F71E3">
        <w:t>We also know that</w:t>
      </w:r>
      <w:r w:rsidR="00F52E23">
        <w:t xml:space="preserve"> </w:t>
      </w:r>
      <w:r w:rsidR="000F71E3">
        <w:t>relationships between</w:t>
      </w:r>
      <w:r w:rsidR="00F52E23">
        <w:t xml:space="preserve"> organizational </w:t>
      </w:r>
      <w:r w:rsidR="000F71E3">
        <w:t>design and performance are</w:t>
      </w:r>
      <w:r w:rsidR="00F52E23">
        <w:t xml:space="preserve"> contingent on context (March and Sutton 1997).</w:t>
      </w:r>
      <w:r w:rsidR="000F71E3">
        <w:t xml:space="preserve"> </w:t>
      </w:r>
      <w:r>
        <w:t>This</w:t>
      </w:r>
      <w:r w:rsidR="00837316">
        <w:t xml:space="preserve"> reasoning</w:t>
      </w:r>
      <w:r>
        <w:t xml:space="preserve"> lea</w:t>
      </w:r>
      <w:r w:rsidR="00837316">
        <w:t>ds to our</w:t>
      </w:r>
      <w:r>
        <w:t xml:space="preserve"> core questions: </w:t>
      </w:r>
      <w:r w:rsidR="00BA50C1">
        <w:t xml:space="preserve">what </w:t>
      </w:r>
      <w:r w:rsidR="000F71E3">
        <w:t xml:space="preserve">is </w:t>
      </w:r>
      <w:r w:rsidR="00BA50C1">
        <w:t xml:space="preserve">the </w:t>
      </w:r>
      <w:r w:rsidR="00732398">
        <w:t xml:space="preserve">design </w:t>
      </w:r>
      <w:r w:rsidR="00F52E23">
        <w:t xml:space="preserve">of </w:t>
      </w:r>
      <w:r w:rsidR="00160BC5">
        <w:t xml:space="preserve">a </w:t>
      </w:r>
      <w:r w:rsidR="00F52E23">
        <w:t>capital-intensive project</w:t>
      </w:r>
      <w:r w:rsidR="00CF3C46">
        <w:t xml:space="preserve"> organization</w:t>
      </w:r>
      <w:r w:rsidR="00F52E23">
        <w:t xml:space="preserve"> in </w:t>
      </w:r>
      <w:r w:rsidR="003E3B35">
        <w:t xml:space="preserve">the </w:t>
      </w:r>
      <w:r w:rsidR="00BA50C1">
        <w:t>planning</w:t>
      </w:r>
      <w:r w:rsidR="003E3B35">
        <w:t xml:space="preserve"> stage</w:t>
      </w:r>
      <w:r w:rsidR="00BA50C1">
        <w:t xml:space="preserve">? </w:t>
      </w:r>
      <w:r w:rsidR="004A254F">
        <w:t xml:space="preserve">To </w:t>
      </w:r>
      <w:r w:rsidR="00BA50C1">
        <w:t>wh</w:t>
      </w:r>
      <w:r w:rsidR="00EE24C5">
        <w:t>ich degree does</w:t>
      </w:r>
      <w:r w:rsidR="003E3B35">
        <w:t xml:space="preserve"> </w:t>
      </w:r>
      <w:r w:rsidR="00B12E4A">
        <w:t xml:space="preserve">this </w:t>
      </w:r>
      <w:r w:rsidR="00732398">
        <w:t xml:space="preserve">design </w:t>
      </w:r>
      <w:r w:rsidR="00EE24C5">
        <w:t>change</w:t>
      </w:r>
      <w:r w:rsidR="00BA50C1">
        <w:t xml:space="preserve"> as</w:t>
      </w:r>
      <w:r w:rsidR="00CF3C46">
        <w:t xml:space="preserve"> the </w:t>
      </w:r>
      <w:r w:rsidR="00BA50C1">
        <w:t xml:space="preserve">context varies? </w:t>
      </w:r>
      <w:r w:rsidR="00E40889">
        <w:t xml:space="preserve">Finally, </w:t>
      </w:r>
      <w:r w:rsidR="003E3B35">
        <w:t xml:space="preserve">to what extent can </w:t>
      </w:r>
      <w:r w:rsidR="00CF3C46">
        <w:t xml:space="preserve">we </w:t>
      </w:r>
      <w:r w:rsidR="003E3B35">
        <w:t xml:space="preserve">trace project performance to </w:t>
      </w:r>
      <w:r w:rsidR="000F71E3">
        <w:t xml:space="preserve">organizational </w:t>
      </w:r>
      <w:r w:rsidR="00732398">
        <w:t>design</w:t>
      </w:r>
      <w:r w:rsidR="00BA50C1">
        <w:t>?</w:t>
      </w:r>
    </w:p>
    <w:p w14:paraId="0FE74F77" w14:textId="57E1D396" w:rsidR="00BA50C1" w:rsidRPr="00927814" w:rsidRDefault="00BA50C1" w:rsidP="00BA50C1">
      <w:r w:rsidRPr="00927814">
        <w:t xml:space="preserve">We </w:t>
      </w:r>
      <w:r w:rsidR="00E40889">
        <w:t>address</w:t>
      </w:r>
      <w:r w:rsidR="00E40889" w:rsidRPr="00927814">
        <w:t xml:space="preserve"> </w:t>
      </w:r>
      <w:r w:rsidRPr="00927814">
        <w:t>these questions through multiple-case research. This approach is useful to explore new ideas in comprehensive ways as it reveal</w:t>
      </w:r>
      <w:r w:rsidR="00E40889">
        <w:t>s</w:t>
      </w:r>
      <w:r w:rsidRPr="00927814">
        <w:t xml:space="preserve"> the complexity </w:t>
      </w:r>
      <w:r w:rsidRPr="00390B67">
        <w:t>in social settings and</w:t>
      </w:r>
      <w:r>
        <w:t xml:space="preserve"> the</w:t>
      </w:r>
      <w:r w:rsidRPr="00390B67">
        <w:t xml:space="preserve"> longitudinal interconnections between events (</w:t>
      </w:r>
      <w:proofErr w:type="spellStart"/>
      <w:r w:rsidRPr="00390B67">
        <w:t>Eisenhardt</w:t>
      </w:r>
      <w:proofErr w:type="spellEnd"/>
      <w:r w:rsidRPr="00390B67">
        <w:t xml:space="preserve"> and </w:t>
      </w:r>
      <w:proofErr w:type="spellStart"/>
      <w:r w:rsidRPr="00390B67">
        <w:t>Graebner</w:t>
      </w:r>
      <w:proofErr w:type="spellEnd"/>
      <w:r w:rsidRPr="00390B67">
        <w:t xml:space="preserve"> 2007). </w:t>
      </w:r>
      <w:r w:rsidRPr="00927814">
        <w:t xml:space="preserve">Our </w:t>
      </w:r>
      <w:r w:rsidR="008C505B">
        <w:t xml:space="preserve">sample </w:t>
      </w:r>
      <w:r w:rsidRPr="00927814">
        <w:t>consist</w:t>
      </w:r>
      <w:r w:rsidR="008C505B">
        <w:t>s</w:t>
      </w:r>
      <w:r w:rsidRPr="00927814">
        <w:t xml:space="preserve"> of four</w:t>
      </w:r>
      <w:r w:rsidR="008C505B">
        <w:t xml:space="preserve"> large</w:t>
      </w:r>
      <w:r w:rsidRPr="00927814">
        <w:t xml:space="preserve"> infrastructure projects in the UK. </w:t>
      </w:r>
      <w:r w:rsidR="00F57009">
        <w:t xml:space="preserve">To vary the context, we </w:t>
      </w:r>
      <w:r w:rsidR="008B7AB6">
        <w:t>examined</w:t>
      </w:r>
      <w:r w:rsidR="00F57009">
        <w:t xml:space="preserve"> three</w:t>
      </w:r>
      <w:r w:rsidR="006715D4">
        <w:t xml:space="preserve"> </w:t>
      </w:r>
      <w:r w:rsidRPr="00927814">
        <w:t xml:space="preserve">projects </w:t>
      </w:r>
      <w:r w:rsidR="003E3B35">
        <w:t xml:space="preserve">promoted </w:t>
      </w:r>
      <w:r w:rsidRPr="00927814">
        <w:t>by</w:t>
      </w:r>
      <w:r w:rsidR="008C505B">
        <w:t xml:space="preserve"> the </w:t>
      </w:r>
      <w:r w:rsidR="00DC198C">
        <w:t xml:space="preserve">central </w:t>
      </w:r>
      <w:r w:rsidRPr="00927814">
        <w:t xml:space="preserve">government </w:t>
      </w:r>
      <w:r w:rsidR="0065077A">
        <w:t>(</w:t>
      </w:r>
      <w:r w:rsidR="00F57009">
        <w:t xml:space="preserve">with differing degrees of regulation over </w:t>
      </w:r>
      <w:r w:rsidR="000D2E0D">
        <w:t xml:space="preserve">the </w:t>
      </w:r>
      <w:r w:rsidR="00F57009">
        <w:t>planning decisions</w:t>
      </w:r>
      <w:r w:rsidR="0065077A">
        <w:t>)</w:t>
      </w:r>
      <w:r w:rsidR="00371BE6">
        <w:t>,</w:t>
      </w:r>
      <w:r w:rsidR="00F57009">
        <w:t xml:space="preserve"> and</w:t>
      </w:r>
      <w:r w:rsidR="008B7AB6">
        <w:t xml:space="preserve"> </w:t>
      </w:r>
      <w:r w:rsidR="00C06803">
        <w:t>one</w:t>
      </w:r>
      <w:r w:rsidR="008B7AB6">
        <w:t xml:space="preserve"> project </w:t>
      </w:r>
      <w:r w:rsidR="003E3B35">
        <w:t xml:space="preserve">promoted </w:t>
      </w:r>
      <w:r w:rsidR="008B7AB6">
        <w:t>by a</w:t>
      </w:r>
      <w:r w:rsidRPr="00927814">
        <w:t xml:space="preserve"> </w:t>
      </w:r>
      <w:r w:rsidR="00124B73">
        <w:t>private</w:t>
      </w:r>
      <w:r w:rsidRPr="00927814">
        <w:t xml:space="preserve"> firm</w:t>
      </w:r>
      <w:r w:rsidR="006715D4">
        <w:t xml:space="preserve">. </w:t>
      </w:r>
      <w:r w:rsidR="008C505B">
        <w:t xml:space="preserve">The sample also varies the architecture of the </w:t>
      </w:r>
      <w:r w:rsidR="0065077A">
        <w:t xml:space="preserve">product </w:t>
      </w:r>
      <w:r w:rsidR="000D2E0D">
        <w:t xml:space="preserve">that is being </w:t>
      </w:r>
      <w:r w:rsidR="0065077A">
        <w:t>planned</w:t>
      </w:r>
      <w:r w:rsidR="008C505B">
        <w:t xml:space="preserve"> because organization</w:t>
      </w:r>
      <w:r w:rsidR="003E3B35">
        <w:t xml:space="preserve"> design</w:t>
      </w:r>
      <w:r w:rsidR="008C505B">
        <w:t xml:space="preserve"> literature claims that</w:t>
      </w:r>
      <w:r w:rsidR="0065077A">
        <w:t xml:space="preserve"> managers </w:t>
      </w:r>
      <w:r w:rsidR="008B4C94">
        <w:t xml:space="preserve">intuitively </w:t>
      </w:r>
      <w:r w:rsidR="0065077A">
        <w:t>leverage</w:t>
      </w:r>
      <w:r w:rsidR="008C505B">
        <w:t xml:space="preserve"> </w:t>
      </w:r>
      <w:r w:rsidR="0065077A">
        <w:t xml:space="preserve">product design </w:t>
      </w:r>
      <w:r w:rsidR="008C505B">
        <w:t>knowledge to design organizations that are less complex to manage (</w:t>
      </w:r>
      <w:r w:rsidR="00E30E1A" w:rsidRPr="00585BCA">
        <w:t>Baldwin</w:t>
      </w:r>
      <w:r w:rsidR="00E30E1A">
        <w:t xml:space="preserve"> and Clark </w:t>
      </w:r>
      <w:r w:rsidR="00E30E1A" w:rsidRPr="00585BCA">
        <w:t>2000</w:t>
      </w:r>
      <w:r w:rsidR="00E30E1A">
        <w:t xml:space="preserve">, </w:t>
      </w:r>
      <w:r w:rsidR="00CF3C46">
        <w:t>Sosa</w:t>
      </w:r>
      <w:r w:rsidR="00EE4812">
        <w:t xml:space="preserve"> et al.</w:t>
      </w:r>
      <w:r w:rsidR="00CF3C46">
        <w:t xml:space="preserve"> 2004</w:t>
      </w:r>
      <w:r w:rsidR="000D2E0D">
        <w:t xml:space="preserve">, </w:t>
      </w:r>
      <w:proofErr w:type="spellStart"/>
      <w:r w:rsidR="00EE4812">
        <w:t>MacCormack</w:t>
      </w:r>
      <w:proofErr w:type="spellEnd"/>
      <w:r w:rsidR="00EE4812">
        <w:t xml:space="preserve"> et al. 2012</w:t>
      </w:r>
      <w:r w:rsidR="008C505B">
        <w:t xml:space="preserve">). </w:t>
      </w:r>
    </w:p>
    <w:p w14:paraId="30A45D53" w14:textId="65CBFA3E" w:rsidR="00BA50C1" w:rsidRPr="00390B67" w:rsidRDefault="00BA50C1" w:rsidP="00782121">
      <w:r w:rsidRPr="00927814">
        <w:t>Our study leads to two main</w:t>
      </w:r>
      <w:r w:rsidR="006715D4">
        <w:t xml:space="preserve"> conceptual</w:t>
      </w:r>
      <w:r w:rsidRPr="00927814">
        <w:t xml:space="preserve"> </w:t>
      </w:r>
      <w:r w:rsidRPr="00390B67">
        <w:t xml:space="preserve">contributions. First, it </w:t>
      </w:r>
      <w:r w:rsidR="005B7519">
        <w:t xml:space="preserve">suggests </w:t>
      </w:r>
      <w:r w:rsidR="006715D4">
        <w:t>that</w:t>
      </w:r>
      <w:r w:rsidR="003E3B35">
        <w:t>—</w:t>
      </w:r>
      <w:r w:rsidR="005B7519">
        <w:t xml:space="preserve">irrespective of </w:t>
      </w:r>
      <w:r w:rsidR="00A264E2">
        <w:t>the</w:t>
      </w:r>
      <w:r w:rsidR="00B12E4A">
        <w:t xml:space="preserve"> project</w:t>
      </w:r>
      <w:r w:rsidR="00A264E2">
        <w:t xml:space="preserve"> </w:t>
      </w:r>
      <w:r w:rsidR="005B7519">
        <w:t>context</w:t>
      </w:r>
      <w:r w:rsidR="00263A59">
        <w:t xml:space="preserve"> </w:t>
      </w:r>
      <w:r w:rsidR="005A13CB">
        <w:t xml:space="preserve">and </w:t>
      </w:r>
      <w:r w:rsidR="00B12E4A">
        <w:t xml:space="preserve">product </w:t>
      </w:r>
      <w:r w:rsidR="005A13CB">
        <w:t>design</w:t>
      </w:r>
      <w:r w:rsidR="00A264E2">
        <w:t xml:space="preserve"> </w:t>
      </w:r>
      <w:r w:rsidR="00263A59">
        <w:t>architecture</w:t>
      </w:r>
      <w:r w:rsidR="003E3B35">
        <w:t>—</w:t>
      </w:r>
      <w:r w:rsidR="006715D4">
        <w:t xml:space="preserve">planning </w:t>
      </w:r>
      <w:r w:rsidR="00033C76">
        <w:t xml:space="preserve">disputes </w:t>
      </w:r>
      <w:r w:rsidR="00A264E2">
        <w:t xml:space="preserve">emerge and are resolved </w:t>
      </w:r>
      <w:r w:rsidR="006715D4">
        <w:t xml:space="preserve">within a </w:t>
      </w:r>
      <w:r w:rsidRPr="00390B67">
        <w:t>‘polycentric</w:t>
      </w:r>
      <w:r>
        <w:t>’</w:t>
      </w:r>
      <w:r w:rsidRPr="00390B67">
        <w:t xml:space="preserve"> </w:t>
      </w:r>
      <w:r w:rsidR="005B7519">
        <w:t>organizational</w:t>
      </w:r>
      <w:r w:rsidR="00371BE6">
        <w:t xml:space="preserve"> </w:t>
      </w:r>
      <w:r w:rsidR="005A13CB">
        <w:t>design</w:t>
      </w:r>
      <w:r w:rsidRPr="00390B67">
        <w:t xml:space="preserve">. Polycentric </w:t>
      </w:r>
      <w:r w:rsidR="005A13CB">
        <w:t xml:space="preserve">architectures </w:t>
      </w:r>
      <w:r w:rsidR="005B7519">
        <w:t>are</w:t>
      </w:r>
      <w:r w:rsidRPr="00390B67">
        <w:t xml:space="preserve"> a</w:t>
      </w:r>
      <w:r w:rsidR="00782121">
        <w:t>n</w:t>
      </w:r>
      <w:r>
        <w:t xml:space="preserve"> </w:t>
      </w:r>
      <w:r w:rsidR="00782121">
        <w:t xml:space="preserve">intuitive approach to decompose </w:t>
      </w:r>
      <w:r w:rsidR="005B7519">
        <w:t>large arenas of consensus-oriented collective action</w:t>
      </w:r>
      <w:r w:rsidR="005A13CB">
        <w:t xml:space="preserve"> </w:t>
      </w:r>
      <w:r w:rsidRPr="00390B67">
        <w:t>(</w:t>
      </w:r>
      <w:proofErr w:type="spellStart"/>
      <w:r w:rsidRPr="00390B67">
        <w:t>Ostrom</w:t>
      </w:r>
      <w:proofErr w:type="spellEnd"/>
      <w:r w:rsidRPr="00390B67">
        <w:t xml:space="preserve"> 19</w:t>
      </w:r>
      <w:r>
        <w:t>72</w:t>
      </w:r>
      <w:r w:rsidR="004C5EC7">
        <w:t>, 1990</w:t>
      </w:r>
      <w:r w:rsidRPr="00390B67">
        <w:t xml:space="preserve">). </w:t>
      </w:r>
      <w:r w:rsidR="00B12E4A">
        <w:t>Polycentric designs</w:t>
      </w:r>
      <w:r w:rsidR="00CD744D">
        <w:t xml:space="preserve"> decentralise</w:t>
      </w:r>
      <w:r w:rsidRPr="00390B67">
        <w:t xml:space="preserve"> </w:t>
      </w:r>
      <w:r w:rsidR="00782121">
        <w:t>authority across</w:t>
      </w:r>
      <w:r w:rsidR="005B7519">
        <w:t xml:space="preserve"> </w:t>
      </w:r>
      <w:r w:rsidRPr="00390B67">
        <w:t xml:space="preserve">nested groups of decision-making </w:t>
      </w:r>
      <w:r w:rsidR="00263A59">
        <w:t xml:space="preserve">power </w:t>
      </w:r>
      <w:r w:rsidRPr="00390B67">
        <w:t xml:space="preserve">with capacity for mutual adaptation and local variation. </w:t>
      </w:r>
      <w:r w:rsidR="00EE75BF">
        <w:t>In our</w:t>
      </w:r>
      <w:r w:rsidR="00782121">
        <w:t xml:space="preserve"> settings,</w:t>
      </w:r>
      <w:r w:rsidR="00EE75BF">
        <w:t xml:space="preserve"> </w:t>
      </w:r>
      <w:r w:rsidR="00EE24C5">
        <w:t>polycentric</w:t>
      </w:r>
      <w:r w:rsidR="003E3B35">
        <w:t xml:space="preserve"> </w:t>
      </w:r>
      <w:r w:rsidR="00732398">
        <w:t xml:space="preserve">architectures </w:t>
      </w:r>
      <w:r w:rsidR="00EE24C5">
        <w:t>g</w:t>
      </w:r>
      <w:r w:rsidR="00782121">
        <w:t>ive</w:t>
      </w:r>
      <w:r w:rsidR="00EE24C5">
        <w:t xml:space="preserve"> the promoter </w:t>
      </w:r>
      <w:r w:rsidR="005A13CB">
        <w:t>authority</w:t>
      </w:r>
      <w:r w:rsidR="00EE75BF">
        <w:t xml:space="preserve"> </w:t>
      </w:r>
      <w:r w:rsidR="00CF3C46">
        <w:t>to</w:t>
      </w:r>
      <w:r w:rsidR="005A13CB">
        <w:t xml:space="preserve"> </w:t>
      </w:r>
      <w:r w:rsidR="00CF3C46">
        <w:t>set</w:t>
      </w:r>
      <w:r w:rsidR="00CD744D">
        <w:t xml:space="preserve"> </w:t>
      </w:r>
      <w:r w:rsidR="00EE75BF">
        <w:t>performance targets</w:t>
      </w:r>
      <w:r w:rsidR="00CD744D">
        <w:t xml:space="preserve"> for the project</w:t>
      </w:r>
      <w:r w:rsidR="00A264E2">
        <w:t xml:space="preserve"> </w:t>
      </w:r>
      <w:r w:rsidR="005905A2">
        <w:t xml:space="preserve">as a whole </w:t>
      </w:r>
      <w:r w:rsidR="00A264E2">
        <w:t>and</w:t>
      </w:r>
      <w:r w:rsidR="005402EB">
        <w:t xml:space="preserve"> for</w:t>
      </w:r>
      <w:r w:rsidR="00A264E2">
        <w:t xml:space="preserve"> </w:t>
      </w:r>
      <w:r w:rsidR="001738F1">
        <w:t xml:space="preserve">system </w:t>
      </w:r>
      <w:r w:rsidR="00A264E2">
        <w:t>components</w:t>
      </w:r>
      <w:r w:rsidR="00EE75BF">
        <w:t xml:space="preserve">. </w:t>
      </w:r>
      <w:r w:rsidR="00E40889">
        <w:t>Nevertheless,</w:t>
      </w:r>
      <w:r w:rsidR="00A264E2">
        <w:t xml:space="preserve"> </w:t>
      </w:r>
      <w:r w:rsidR="00EE75BF">
        <w:t>the promoter</w:t>
      </w:r>
      <w:r w:rsidR="00B12E4A">
        <w:t xml:space="preserve"> must</w:t>
      </w:r>
      <w:r w:rsidR="00EE75BF">
        <w:t xml:space="preserve"> share</w:t>
      </w:r>
      <w:r w:rsidR="00371BE6">
        <w:t xml:space="preserve"> </w:t>
      </w:r>
      <w:r w:rsidRPr="00390B67">
        <w:t>authority</w:t>
      </w:r>
      <w:r w:rsidR="00A264E2">
        <w:t xml:space="preserve"> over</w:t>
      </w:r>
      <w:r w:rsidR="005905A2">
        <w:t xml:space="preserve"> the</w:t>
      </w:r>
      <w:r w:rsidR="00A264E2">
        <w:t xml:space="preserve"> final </w:t>
      </w:r>
      <w:r w:rsidR="00B12E4A">
        <w:t xml:space="preserve">local </w:t>
      </w:r>
      <w:r w:rsidR="00A264E2">
        <w:t>planning choices</w:t>
      </w:r>
      <w:r w:rsidR="00371BE6">
        <w:t xml:space="preserve"> </w:t>
      </w:r>
      <w:r w:rsidRPr="00390B67">
        <w:t>with</w:t>
      </w:r>
      <w:r w:rsidR="00371BE6">
        <w:t xml:space="preserve"> different </w:t>
      </w:r>
      <w:r w:rsidR="00EE75BF">
        <w:t>group</w:t>
      </w:r>
      <w:r w:rsidR="00CF3C46">
        <w:t>s</w:t>
      </w:r>
      <w:r w:rsidR="00124B73">
        <w:t xml:space="preserve"> of local actors</w:t>
      </w:r>
      <w:r w:rsidR="00EE75BF">
        <w:t>.</w:t>
      </w:r>
      <w:r w:rsidRPr="00390B67">
        <w:t xml:space="preserve"> </w:t>
      </w:r>
      <w:r w:rsidR="00782121">
        <w:t xml:space="preserve">Our second contribution is to </w:t>
      </w:r>
      <w:r w:rsidR="00782121">
        <w:lastRenderedPageBreak/>
        <w:t xml:space="preserve">develop a </w:t>
      </w:r>
      <w:r w:rsidR="00CD744D">
        <w:t>framework that establishes a relationship between</w:t>
      </w:r>
      <w:r w:rsidR="00782121">
        <w:t xml:space="preserve"> </w:t>
      </w:r>
      <w:r w:rsidR="00A264E2">
        <w:t xml:space="preserve">the </w:t>
      </w:r>
      <w:r w:rsidR="00173917">
        <w:t>organizational</w:t>
      </w:r>
      <w:r w:rsidR="007C6397">
        <w:t xml:space="preserve"> desig</w:t>
      </w:r>
      <w:r w:rsidR="00A264E2">
        <w:t>n of a capital–intensive project</w:t>
      </w:r>
      <w:r w:rsidR="00F6536B">
        <w:t xml:space="preserve"> in planning </w:t>
      </w:r>
      <w:r w:rsidR="007C6397">
        <w:t>and</w:t>
      </w:r>
      <w:r w:rsidR="00F6536B">
        <w:t xml:space="preserve"> </w:t>
      </w:r>
      <w:r w:rsidR="00E40889">
        <w:t xml:space="preserve">subsequent </w:t>
      </w:r>
      <w:r w:rsidR="007C6397">
        <w:t>performance</w:t>
      </w:r>
      <w:r w:rsidR="00B12E4A">
        <w:t>. This relationship is</w:t>
      </w:r>
      <w:r w:rsidR="003E3B35">
        <w:t xml:space="preserve"> </w:t>
      </w:r>
      <w:r w:rsidR="007C6397">
        <w:t>contingent on</w:t>
      </w:r>
      <w:r w:rsidR="00B12E4A">
        <w:t xml:space="preserve"> </w:t>
      </w:r>
      <w:r w:rsidR="00371BE6">
        <w:t xml:space="preserve">two </w:t>
      </w:r>
      <w:r w:rsidR="005905A2">
        <w:t xml:space="preserve">administrative </w:t>
      </w:r>
      <w:r w:rsidR="00782121">
        <w:t>structure</w:t>
      </w:r>
      <w:r w:rsidR="00371BE6">
        <w:t>s</w:t>
      </w:r>
      <w:r w:rsidR="00782121">
        <w:t xml:space="preserve"> </w:t>
      </w:r>
      <w:r w:rsidR="00E40889">
        <w:t xml:space="preserve">that </w:t>
      </w:r>
      <w:r w:rsidR="00173917">
        <w:t>can be deployed</w:t>
      </w:r>
      <w:r w:rsidR="00782121">
        <w:t xml:space="preserve"> to resolve</w:t>
      </w:r>
      <w:r w:rsidR="00033C76">
        <w:t xml:space="preserve"> </w:t>
      </w:r>
      <w:r w:rsidRPr="00390B67">
        <w:t>disputes</w:t>
      </w:r>
      <w:r w:rsidR="00EE75BF">
        <w:t xml:space="preserve">: </w:t>
      </w:r>
      <w:r w:rsidR="00B12E4A">
        <w:t>one relates to whether the environment</w:t>
      </w:r>
      <w:r w:rsidR="00A264E2">
        <w:t xml:space="preserve"> </w:t>
      </w:r>
      <w:r w:rsidR="00B12E4A">
        <w:t>imposes on the participants</w:t>
      </w:r>
      <w:r w:rsidR="00A264E2">
        <w:t xml:space="preserve"> </w:t>
      </w:r>
      <w:r w:rsidR="00EE75BF">
        <w:t xml:space="preserve">an ‘umpire’ to </w:t>
      </w:r>
      <w:r w:rsidR="00EE75BF" w:rsidRPr="00390B67">
        <w:t>referee</w:t>
      </w:r>
      <w:r w:rsidR="004F2AFB">
        <w:t xml:space="preserve"> </w:t>
      </w:r>
      <w:r w:rsidR="00EE75BF" w:rsidRPr="00390B67">
        <w:t xml:space="preserve">disputes; </w:t>
      </w:r>
      <w:r w:rsidR="00B12E4A">
        <w:t>the second relates to whether the</w:t>
      </w:r>
      <w:r w:rsidR="00EE75BF" w:rsidRPr="00390B67">
        <w:t xml:space="preserve"> </w:t>
      </w:r>
      <w:r w:rsidR="00EE75BF">
        <w:t xml:space="preserve">promoter has </w:t>
      </w:r>
      <w:r w:rsidR="00EE75BF" w:rsidRPr="00390B67">
        <w:t>slack resources</w:t>
      </w:r>
      <w:r w:rsidR="00EE75BF">
        <w:t xml:space="preserve"> </w:t>
      </w:r>
      <w:r w:rsidR="00EE75BF" w:rsidRPr="00390B67">
        <w:t xml:space="preserve">to </w:t>
      </w:r>
      <w:r w:rsidR="00EE75BF">
        <w:t>mask slippages in the performance targets from the eyes of</w:t>
      </w:r>
      <w:r w:rsidR="005402EB">
        <w:t xml:space="preserve"> third parties.</w:t>
      </w:r>
      <w:r w:rsidR="00EE75BF">
        <w:t xml:space="preserve"> </w:t>
      </w:r>
      <w:r w:rsidR="005905A2">
        <w:t xml:space="preserve"> </w:t>
      </w:r>
    </w:p>
    <w:p w14:paraId="2C9CFC5D" w14:textId="3C4EA393" w:rsidR="00BA50C1" w:rsidRPr="00390B67" w:rsidRDefault="00BA50C1" w:rsidP="00BA50C1">
      <w:r w:rsidRPr="00390B67">
        <w:t>We organize the rest of this paper as follows. First</w:t>
      </w:r>
      <w:r w:rsidR="00EE75BF">
        <w:t>,</w:t>
      </w:r>
      <w:r w:rsidRPr="00390B67">
        <w:t xml:space="preserve"> we</w:t>
      </w:r>
      <w:r w:rsidR="00EE75BF">
        <w:t xml:space="preserve"> review our </w:t>
      </w:r>
      <w:r w:rsidR="000A789E">
        <w:t>understanding</w:t>
      </w:r>
      <w:r w:rsidR="00EE75BF">
        <w:t xml:space="preserve"> about </w:t>
      </w:r>
      <w:r w:rsidR="004F2AFB">
        <w:t xml:space="preserve">designing organizations </w:t>
      </w:r>
      <w:r w:rsidR="00EE75BF">
        <w:t xml:space="preserve">in pluralistic settings. </w:t>
      </w:r>
      <w:r w:rsidRPr="00390B67">
        <w:t>Next we describe the research design, sample, and methods. The analysis examines</w:t>
      </w:r>
      <w:r w:rsidR="00CF3C46">
        <w:t xml:space="preserve"> </w:t>
      </w:r>
      <w:r w:rsidR="00AA6DB3">
        <w:t>the polycentric architecture</w:t>
      </w:r>
      <w:r w:rsidR="00AA6DB3" w:rsidDel="00CF3C46">
        <w:t xml:space="preserve"> </w:t>
      </w:r>
      <w:r w:rsidR="00AA6DB3">
        <w:t>underlying project organizing, and</w:t>
      </w:r>
      <w:r w:rsidR="00CF3C46">
        <w:t xml:space="preserve"> </w:t>
      </w:r>
      <w:r w:rsidR="00033C76">
        <w:t>variance in</w:t>
      </w:r>
      <w:r w:rsidR="00CF3C46">
        <w:t xml:space="preserve"> the</w:t>
      </w:r>
      <w:r w:rsidR="00AA6DB3">
        <w:t xml:space="preserve"> </w:t>
      </w:r>
      <w:r w:rsidR="00CF3C46">
        <w:t>structure</w:t>
      </w:r>
      <w:r w:rsidR="004C5EC7">
        <w:t>s</w:t>
      </w:r>
      <w:r w:rsidR="00AA6DB3">
        <w:t xml:space="preserve"> deployed to resolve </w:t>
      </w:r>
      <w:r w:rsidR="00173917">
        <w:t>disput</w:t>
      </w:r>
      <w:r w:rsidR="00AA6DB3">
        <w:t>es</w:t>
      </w:r>
      <w:r w:rsidR="00CF3C46">
        <w:t xml:space="preserve">. </w:t>
      </w:r>
      <w:r w:rsidRPr="00390B67">
        <w:t xml:space="preserve">The discussion proposes </w:t>
      </w:r>
      <w:r w:rsidR="00EE75BF">
        <w:t xml:space="preserve">four </w:t>
      </w:r>
      <w:r w:rsidR="00E214E7">
        <w:t>organizational design</w:t>
      </w:r>
      <w:r w:rsidR="00EE75BF">
        <w:t>-performance logics</w:t>
      </w:r>
      <w:r w:rsidRPr="00390B67">
        <w:t>. We conclude by addressing boundary conditions and implications</w:t>
      </w:r>
      <w:r w:rsidR="00173917">
        <w:t xml:space="preserve"> to policy and practice</w:t>
      </w:r>
      <w:r w:rsidRPr="00390B67">
        <w:t>.</w:t>
      </w:r>
    </w:p>
    <w:p w14:paraId="34895E8E" w14:textId="76F01B05" w:rsidR="001870A0" w:rsidRPr="00390B67" w:rsidRDefault="00E214E7" w:rsidP="005A69DD">
      <w:pPr>
        <w:pStyle w:val="Heading1"/>
      </w:pPr>
      <w:r>
        <w:t>Designing Organizations</w:t>
      </w:r>
      <w:r w:rsidR="0027268B">
        <w:t xml:space="preserve"> in Pluralistic Settings</w:t>
      </w:r>
    </w:p>
    <w:p w14:paraId="3FDD95CD" w14:textId="2F9F9F32" w:rsidR="00EF5D83" w:rsidRDefault="00F723DC" w:rsidP="00EF5D83">
      <w:r w:rsidRPr="00222B05">
        <w:t>P</w:t>
      </w:r>
      <w:r w:rsidR="006C3769" w:rsidRPr="00222B05">
        <w:t>luralistic settings are characterized by</w:t>
      </w:r>
      <w:r w:rsidR="00DA30C8">
        <w:t xml:space="preserve"> the</w:t>
      </w:r>
      <w:r w:rsidR="00727CF7" w:rsidRPr="00222B05">
        <w:t xml:space="preserve"> diffus</w:t>
      </w:r>
      <w:r w:rsidR="00DA30C8">
        <w:t>ion of</w:t>
      </w:r>
      <w:r w:rsidR="005905A2">
        <w:t xml:space="preserve"> </w:t>
      </w:r>
      <w:r w:rsidR="005402EB">
        <w:t xml:space="preserve">decision-making </w:t>
      </w:r>
      <w:r w:rsidR="005905A2">
        <w:t>authority</w:t>
      </w:r>
      <w:r w:rsidR="006C3769" w:rsidRPr="00222B05">
        <w:t xml:space="preserve">. </w:t>
      </w:r>
      <w:r w:rsidR="000A4772">
        <w:t xml:space="preserve">In these </w:t>
      </w:r>
      <w:r w:rsidR="00E40889">
        <w:t>settings,</w:t>
      </w:r>
      <w:r w:rsidR="000A4772">
        <w:t xml:space="preserve"> </w:t>
      </w:r>
      <w:r w:rsidR="00612768">
        <w:t>decisions</w:t>
      </w:r>
      <w:r w:rsidR="00612768" w:rsidRPr="00222B05">
        <w:t xml:space="preserve"> </w:t>
      </w:r>
      <w:r w:rsidR="00612768">
        <w:t>require</w:t>
      </w:r>
      <w:r w:rsidR="00612768" w:rsidRPr="00390B67">
        <w:t xml:space="preserve"> lengthy </w:t>
      </w:r>
      <w:r w:rsidR="00E40889">
        <w:t>discussion in order that</w:t>
      </w:r>
      <w:r w:rsidR="00612768" w:rsidRPr="00390B67">
        <w:t xml:space="preserve"> the actors </w:t>
      </w:r>
      <w:r w:rsidR="00E40889">
        <w:t>can</w:t>
      </w:r>
      <w:r w:rsidR="00612768" w:rsidRPr="00390B67">
        <w:t xml:space="preserve"> understand complex </w:t>
      </w:r>
      <w:r w:rsidR="00612768">
        <w:t>issues</w:t>
      </w:r>
      <w:r w:rsidR="00612768" w:rsidRPr="00390B67">
        <w:t xml:space="preserve"> and </w:t>
      </w:r>
      <w:r w:rsidR="000A4772">
        <w:t xml:space="preserve">strike a </w:t>
      </w:r>
      <w:r w:rsidR="002840AF">
        <w:t>consensus</w:t>
      </w:r>
      <w:r w:rsidR="00612768" w:rsidRPr="00390B67">
        <w:t xml:space="preserve"> (Susskind and Cruikshank 1987, Thomson and Perry 20</w:t>
      </w:r>
      <w:r w:rsidR="00EF5D83">
        <w:t>06</w:t>
      </w:r>
      <w:r w:rsidR="00612768" w:rsidRPr="00390B67">
        <w:t>).</w:t>
      </w:r>
      <w:r w:rsidR="00EC3EEE">
        <w:t xml:space="preserve"> </w:t>
      </w:r>
      <w:r w:rsidR="000A4772">
        <w:t>T</w:t>
      </w:r>
      <w:r w:rsidR="00EC3EEE">
        <w:t xml:space="preserve">he risk of </w:t>
      </w:r>
      <w:r w:rsidR="00612768">
        <w:t>inaction is</w:t>
      </w:r>
      <w:r w:rsidR="000A4772">
        <w:t xml:space="preserve"> also</w:t>
      </w:r>
      <w:r w:rsidR="00EF5D83">
        <w:t xml:space="preserve"> </w:t>
      </w:r>
      <w:r w:rsidR="00612768">
        <w:t xml:space="preserve">high </w:t>
      </w:r>
      <w:r w:rsidR="00EC3EEE">
        <w:t xml:space="preserve">if </w:t>
      </w:r>
      <w:r w:rsidR="00612768">
        <w:t xml:space="preserve">the </w:t>
      </w:r>
      <w:r w:rsidR="00EC3EEE">
        <w:t>participants mistrust one another and keep</w:t>
      </w:r>
      <w:r w:rsidR="00612768">
        <w:t xml:space="preserve"> </w:t>
      </w:r>
      <w:r w:rsidR="00EC3EEE">
        <w:t>disputing</w:t>
      </w:r>
      <w:r w:rsidR="00612768" w:rsidRPr="00390B67">
        <w:t xml:space="preserve"> </w:t>
      </w:r>
      <w:r w:rsidR="00612768">
        <w:t>each other’s evidence</w:t>
      </w:r>
      <w:r w:rsidR="000A4772">
        <w:t>—</w:t>
      </w:r>
      <w:r w:rsidR="00612768" w:rsidRPr="00390B67">
        <w:t>what Langley (1995) calls ‘paralysis by analysis’</w:t>
      </w:r>
      <w:r w:rsidR="00612768">
        <w:t>.</w:t>
      </w:r>
      <w:r w:rsidR="00EC3EEE">
        <w:t xml:space="preserve"> </w:t>
      </w:r>
      <w:r w:rsidR="000A4772">
        <w:t>Furthermore, diffused</w:t>
      </w:r>
      <w:r w:rsidR="00EF5D83">
        <w:t xml:space="preserve"> </w:t>
      </w:r>
      <w:r w:rsidR="005905A2">
        <w:t xml:space="preserve">authority </w:t>
      </w:r>
      <w:r w:rsidR="00EF5D83">
        <w:t xml:space="preserve">makes </w:t>
      </w:r>
      <w:r w:rsidR="00124B73">
        <w:t xml:space="preserve">politics and bargaining </w:t>
      </w:r>
      <w:r w:rsidR="00E40889">
        <w:t>essential to</w:t>
      </w:r>
      <w:r w:rsidR="00124B73">
        <w:t xml:space="preserve"> </w:t>
      </w:r>
      <w:r w:rsidR="00EF5D83">
        <w:t>the</w:t>
      </w:r>
      <w:r w:rsidR="00EC3EEE">
        <w:t xml:space="preserve"> decision-making process</w:t>
      </w:r>
      <w:r w:rsidR="00124B73">
        <w:t xml:space="preserve"> </w:t>
      </w:r>
      <w:r w:rsidR="00222B05">
        <w:t xml:space="preserve">(Ring </w:t>
      </w:r>
      <w:r w:rsidR="000A4772">
        <w:t xml:space="preserve">and </w:t>
      </w:r>
      <w:r w:rsidR="00222B05">
        <w:t xml:space="preserve">Van de </w:t>
      </w:r>
      <w:proofErr w:type="spellStart"/>
      <w:r w:rsidR="00222B05">
        <w:t>Ven</w:t>
      </w:r>
      <w:proofErr w:type="spellEnd"/>
      <w:r w:rsidR="00222B05">
        <w:t xml:space="preserve"> 1992)</w:t>
      </w:r>
      <w:r w:rsidR="00EC3EEE">
        <w:t xml:space="preserve">. </w:t>
      </w:r>
    </w:p>
    <w:p w14:paraId="6E93A85C" w14:textId="6E097AE1" w:rsidR="005E4315" w:rsidRDefault="00EF5D83" w:rsidP="005E4315">
      <w:r>
        <w:t xml:space="preserve">The </w:t>
      </w:r>
      <w:r w:rsidR="00CF3C46">
        <w:t xml:space="preserve">management </w:t>
      </w:r>
      <w:r>
        <w:t xml:space="preserve">complexity </w:t>
      </w:r>
      <w:r w:rsidR="009D6CEC">
        <w:t>endemic to</w:t>
      </w:r>
      <w:r>
        <w:t xml:space="preserve"> pluralistic settings begs the question as to why an organization would</w:t>
      </w:r>
      <w:r w:rsidR="00305140">
        <w:t xml:space="preserve"> deliberately</w:t>
      </w:r>
      <w:r>
        <w:t xml:space="preserve"> </w:t>
      </w:r>
      <w:r w:rsidR="00E30E1A">
        <w:t>want to become</w:t>
      </w:r>
      <w:r>
        <w:t xml:space="preserve"> pluralistic. The answer to this question lies in the </w:t>
      </w:r>
      <w:r w:rsidR="002D1888">
        <w:t xml:space="preserve">idea that co-opting environmental actors </w:t>
      </w:r>
      <w:r w:rsidR="00472383">
        <w:t>helps</w:t>
      </w:r>
      <w:r w:rsidR="002D1888">
        <w:t xml:space="preserve"> </w:t>
      </w:r>
      <w:r>
        <w:t>or</w:t>
      </w:r>
      <w:r w:rsidR="002D1888">
        <w:t>ganization</w:t>
      </w:r>
      <w:r w:rsidR="00472383">
        <w:t>s to</w:t>
      </w:r>
      <w:r>
        <w:t xml:space="preserve"> surviv</w:t>
      </w:r>
      <w:r w:rsidR="00472383">
        <w:t>e</w:t>
      </w:r>
      <w:r w:rsidR="002D1888">
        <w:t xml:space="preserve"> (</w:t>
      </w:r>
      <w:r w:rsidR="00124B73">
        <w:t>March and Simon 1958</w:t>
      </w:r>
      <w:r w:rsidR="002D1888">
        <w:t xml:space="preserve">). In </w:t>
      </w:r>
      <w:r w:rsidR="00E40889">
        <w:t xml:space="preserve">other words, by </w:t>
      </w:r>
      <w:r w:rsidR="002D1888">
        <w:t xml:space="preserve">bringing </w:t>
      </w:r>
      <w:r w:rsidR="009D6CEC">
        <w:t>external</w:t>
      </w:r>
      <w:r w:rsidR="002D1888">
        <w:t xml:space="preserve"> actors in</w:t>
      </w:r>
      <w:r w:rsidR="00E40889">
        <w:t>side</w:t>
      </w:r>
      <w:r w:rsidR="002D1888">
        <w:t xml:space="preserve"> the organization</w:t>
      </w:r>
      <w:r w:rsidR="00D4196F">
        <w:t>al boundaries</w:t>
      </w:r>
      <w:r w:rsidR="002D1888">
        <w:t xml:space="preserve"> and sharing </w:t>
      </w:r>
      <w:r w:rsidR="005905A2">
        <w:t xml:space="preserve">rights to make </w:t>
      </w:r>
      <w:r w:rsidR="002D1888">
        <w:t>decision</w:t>
      </w:r>
      <w:r w:rsidR="005905A2">
        <w:t>s</w:t>
      </w:r>
      <w:r w:rsidR="002D1888">
        <w:t>, the organization</w:t>
      </w:r>
      <w:r w:rsidR="00E40889">
        <w:t>’s</w:t>
      </w:r>
      <w:r w:rsidR="00D4196F">
        <w:t xml:space="preserve"> </w:t>
      </w:r>
      <w:r w:rsidR="00D4196F">
        <w:lastRenderedPageBreak/>
        <w:t>leader</w:t>
      </w:r>
      <w:r w:rsidR="002D1888">
        <w:t xml:space="preserve"> accepts a fundamental trade-off: less uncertainty</w:t>
      </w:r>
      <w:r w:rsidR="005E4315">
        <w:t xml:space="preserve"> in the environment</w:t>
      </w:r>
      <w:r w:rsidR="002D1888">
        <w:t xml:space="preserve"> comes at the expense of a loss in decision-making autonomy.</w:t>
      </w:r>
      <w:r w:rsidR="005E4315">
        <w:t xml:space="preserve"> </w:t>
      </w:r>
      <w:r w:rsidR="002D1888">
        <w:t xml:space="preserve">This trade-off </w:t>
      </w:r>
      <w:r w:rsidR="009D6CEC">
        <w:t>illuminates</w:t>
      </w:r>
      <w:r w:rsidR="002D1888">
        <w:t xml:space="preserve"> why promoters of capital-intensive projects </w:t>
      </w:r>
      <w:r w:rsidR="002840AF">
        <w:t xml:space="preserve">open the decision-making process </w:t>
      </w:r>
      <w:r w:rsidR="005905A2">
        <w:t xml:space="preserve">in </w:t>
      </w:r>
      <w:r w:rsidR="002840AF">
        <w:t>planning to key stakeholders</w:t>
      </w:r>
      <w:r w:rsidR="005C2667">
        <w:t>. For example, Gil and Tether’s (2012) account o</w:t>
      </w:r>
      <w:r w:rsidR="00E40889">
        <w:t>f</w:t>
      </w:r>
      <w:r w:rsidR="005C2667">
        <w:t xml:space="preserve"> the design of Heathrow </w:t>
      </w:r>
      <w:r w:rsidR="00E40889">
        <w:t>A</w:t>
      </w:r>
      <w:r w:rsidR="005C2667">
        <w:t>irport Terminal 5 shows how the airport owner</w:t>
      </w:r>
      <w:r w:rsidR="005E4315">
        <w:t xml:space="preserve"> involved the</w:t>
      </w:r>
      <w:r w:rsidR="005C2667">
        <w:t xml:space="preserve"> airlines </w:t>
      </w:r>
      <w:r w:rsidR="005E4315">
        <w:t>in</w:t>
      </w:r>
      <w:r w:rsidR="005C2667">
        <w:t xml:space="preserve"> </w:t>
      </w:r>
      <w:r w:rsidR="00472383">
        <w:t xml:space="preserve">critical </w:t>
      </w:r>
      <w:r w:rsidR="005C2667">
        <w:t xml:space="preserve">planning decisions. Likewise, </w:t>
      </w:r>
      <w:r w:rsidR="00124B73">
        <w:t>consensus</w:t>
      </w:r>
      <w:r w:rsidR="00E22A05">
        <w:t xml:space="preserve"> building is</w:t>
      </w:r>
      <w:r w:rsidR="00124B73">
        <w:t xml:space="preserve"> also central to </w:t>
      </w:r>
      <w:proofErr w:type="spellStart"/>
      <w:r w:rsidR="005C2667" w:rsidRPr="00927814">
        <w:t>Pitsis</w:t>
      </w:r>
      <w:proofErr w:type="spellEnd"/>
      <w:r w:rsidR="005C2667" w:rsidRPr="00927814">
        <w:t xml:space="preserve"> et al</w:t>
      </w:r>
      <w:r w:rsidR="00124B73">
        <w:t>. (2003)</w:t>
      </w:r>
      <w:r w:rsidR="005C2667">
        <w:t>’s account</w:t>
      </w:r>
      <w:r w:rsidR="005C2667" w:rsidRPr="00927814">
        <w:t xml:space="preserve"> </w:t>
      </w:r>
      <w:r w:rsidR="005C2667">
        <w:t>of</w:t>
      </w:r>
      <w:r w:rsidR="00E22A05">
        <w:t xml:space="preserve"> the development of infrastructure for the Sydney Olympic</w:t>
      </w:r>
      <w:r w:rsidR="00472383">
        <w:t xml:space="preserve"> Games</w:t>
      </w:r>
      <w:r w:rsidR="005C2667">
        <w:t xml:space="preserve">. </w:t>
      </w:r>
    </w:p>
    <w:p w14:paraId="37CE7C4D" w14:textId="7CBBF508" w:rsidR="00B026BA" w:rsidRPr="00390B67" w:rsidRDefault="00D4196F" w:rsidP="000A4772">
      <w:r>
        <w:t>However</w:t>
      </w:r>
      <w:r w:rsidR="00E30E1A">
        <w:t>,</w:t>
      </w:r>
      <w:r>
        <w:t xml:space="preserve"> the decision to co-opt multiple</w:t>
      </w:r>
      <w:r w:rsidR="00DA30C8">
        <w:t xml:space="preserve"> </w:t>
      </w:r>
      <w:r>
        <w:t xml:space="preserve">actors </w:t>
      </w:r>
      <w:r w:rsidR="00DA30C8">
        <w:t xml:space="preserve">in the </w:t>
      </w:r>
      <w:r w:rsidR="00305140">
        <w:t xml:space="preserve">project </w:t>
      </w:r>
      <w:r w:rsidR="00DA30C8">
        <w:t xml:space="preserve">planning stage </w:t>
      </w:r>
      <w:r>
        <w:t>creates a complex management problem</w:t>
      </w:r>
      <w:r w:rsidR="009D6CEC">
        <w:t xml:space="preserve">. </w:t>
      </w:r>
      <w:r w:rsidR="005C2667">
        <w:t>F</w:t>
      </w:r>
      <w:r w:rsidR="00C63BC7">
        <w:t>irst</w:t>
      </w:r>
      <w:r w:rsidR="005C2667">
        <w:t xml:space="preserve">, the promoter </w:t>
      </w:r>
      <w:r w:rsidR="00E22A05">
        <w:t xml:space="preserve">cannot </w:t>
      </w:r>
      <w:r w:rsidR="00CF3C46">
        <w:t xml:space="preserve">simulate </w:t>
      </w:r>
      <w:r w:rsidR="00E22A05">
        <w:t xml:space="preserve">a </w:t>
      </w:r>
      <w:r w:rsidR="00CF3C46">
        <w:t xml:space="preserve">hierarchical </w:t>
      </w:r>
      <w:r w:rsidR="005C2667">
        <w:t>authority vested in ownership stakes</w:t>
      </w:r>
      <w:r w:rsidR="00EA09A1">
        <w:t>, regulation,</w:t>
      </w:r>
      <w:r w:rsidR="00CF3C46">
        <w:t xml:space="preserve"> </w:t>
      </w:r>
      <w:r w:rsidR="005C2667">
        <w:t xml:space="preserve">and </w:t>
      </w:r>
      <w:r w:rsidR="00C63BC7">
        <w:t xml:space="preserve">contracts </w:t>
      </w:r>
      <w:r w:rsidR="00E22A05">
        <w:t xml:space="preserve">because the co-opted </w:t>
      </w:r>
      <w:r w:rsidR="00C63BC7">
        <w:t xml:space="preserve">actors </w:t>
      </w:r>
      <w:r w:rsidR="00CF3C46">
        <w:t xml:space="preserve">are </w:t>
      </w:r>
      <w:r w:rsidR="000A4772">
        <w:t>autonomous</w:t>
      </w:r>
      <w:r w:rsidR="00E22A05">
        <w:t xml:space="preserve"> </w:t>
      </w:r>
      <w:r>
        <w:t>(</w:t>
      </w:r>
      <w:proofErr w:type="spellStart"/>
      <w:r>
        <w:t>Rittel</w:t>
      </w:r>
      <w:proofErr w:type="spellEnd"/>
      <w:r>
        <w:t xml:space="preserve"> and Weber 1973)</w:t>
      </w:r>
      <w:r w:rsidR="00E22A05">
        <w:t>.</w:t>
      </w:r>
      <w:r w:rsidR="005C2667">
        <w:t xml:space="preserve"> </w:t>
      </w:r>
      <w:r w:rsidR="00C63BC7">
        <w:t>Second</w:t>
      </w:r>
      <w:r w:rsidR="00E22A05">
        <w:t>, because</w:t>
      </w:r>
      <w:r w:rsidR="005C2667">
        <w:t xml:space="preserve"> the </w:t>
      </w:r>
      <w:r w:rsidR="00E22A05">
        <w:t xml:space="preserve">co-opted </w:t>
      </w:r>
      <w:r w:rsidR="005C2667">
        <w:t xml:space="preserve">actors </w:t>
      </w:r>
      <w:r w:rsidR="005C2667" w:rsidRPr="00EC2820">
        <w:t>are drawn from</w:t>
      </w:r>
      <w:r w:rsidR="004429A1">
        <w:t xml:space="preserve"> </w:t>
      </w:r>
      <w:r w:rsidR="005C2667" w:rsidRPr="00EC2820">
        <w:t xml:space="preserve">different </w:t>
      </w:r>
      <w:r w:rsidR="005C2667">
        <w:t xml:space="preserve">communities </w:t>
      </w:r>
      <w:r w:rsidR="005C2667" w:rsidRPr="00305140">
        <w:t xml:space="preserve">of </w:t>
      </w:r>
      <w:r w:rsidR="005C2667" w:rsidRPr="00585BCA">
        <w:t xml:space="preserve">practice, </w:t>
      </w:r>
      <w:r w:rsidR="000A4772" w:rsidRPr="00585BCA">
        <w:t>it</w:t>
      </w:r>
      <w:r w:rsidR="000A4772" w:rsidRPr="00305140">
        <w:t xml:space="preserve"> is difficult</w:t>
      </w:r>
      <w:r w:rsidR="00472383">
        <w:t xml:space="preserve"> to </w:t>
      </w:r>
      <w:r w:rsidR="00E22A05">
        <w:t xml:space="preserve">build </w:t>
      </w:r>
      <w:r w:rsidR="005C2667">
        <w:t xml:space="preserve">a </w:t>
      </w:r>
      <w:r w:rsidR="005C2667" w:rsidRPr="00EC2820">
        <w:t>‘meritocracy-based</w:t>
      </w:r>
      <w:r w:rsidR="00E22A05">
        <w:t>’</w:t>
      </w:r>
      <w:r w:rsidR="005C2667" w:rsidRPr="00EC2820">
        <w:t xml:space="preserve"> authority</w:t>
      </w:r>
      <w:r w:rsidR="00E22A05">
        <w:t xml:space="preserve"> </w:t>
      </w:r>
      <w:r w:rsidR="003B265D">
        <w:t>to resolve disputes</w:t>
      </w:r>
      <w:r w:rsidR="003B265D" w:rsidRPr="00EC2820">
        <w:t xml:space="preserve"> </w:t>
      </w:r>
      <w:r w:rsidR="005E4315" w:rsidRPr="00EC2820">
        <w:t>(</w:t>
      </w:r>
      <w:proofErr w:type="spellStart"/>
      <w:r w:rsidR="005E4315" w:rsidRPr="00EC2820">
        <w:t>O’Mahoney</w:t>
      </w:r>
      <w:proofErr w:type="spellEnd"/>
      <w:r w:rsidR="005E4315" w:rsidRPr="00EC2820">
        <w:t xml:space="preserve"> and Ferraro 2007).</w:t>
      </w:r>
      <w:r w:rsidR="005E4315">
        <w:t xml:space="preserve"> </w:t>
      </w:r>
      <w:r w:rsidR="00CC4968">
        <w:t>Third</w:t>
      </w:r>
      <w:r w:rsidR="00C63BC7">
        <w:t xml:space="preserve">, diffused </w:t>
      </w:r>
      <w:r w:rsidR="005402EB">
        <w:t>authority</w:t>
      </w:r>
      <w:r w:rsidR="00C63BC7">
        <w:t xml:space="preserve"> </w:t>
      </w:r>
      <w:r w:rsidR="00472383">
        <w:t>makes it hard to</w:t>
      </w:r>
      <w:r w:rsidR="00C63BC7">
        <w:t xml:space="preserve"> </w:t>
      </w:r>
      <w:r w:rsidR="00472383">
        <w:t>use</w:t>
      </w:r>
      <w:r w:rsidR="00C63BC7">
        <w:t xml:space="preserve"> dominant coalitions to enforce individual preferences</w:t>
      </w:r>
      <w:r w:rsidR="00472383">
        <w:t xml:space="preserve"> </w:t>
      </w:r>
      <w:r w:rsidR="004429A1">
        <w:t>(Pettigrew 1973)</w:t>
      </w:r>
      <w:r w:rsidR="001353C3">
        <w:t xml:space="preserve">. </w:t>
      </w:r>
      <w:r w:rsidR="00CC4968">
        <w:t>And fourth</w:t>
      </w:r>
      <w:r w:rsidR="005E4315">
        <w:t>,</w:t>
      </w:r>
      <w:r w:rsidR="0019551E">
        <w:t xml:space="preserve"> </w:t>
      </w:r>
      <w:r w:rsidR="005E4315">
        <w:t>the promoter cannot</w:t>
      </w:r>
      <w:r w:rsidR="00305140">
        <w:t xml:space="preserve"> modularise the</w:t>
      </w:r>
      <w:r w:rsidR="005E4315">
        <w:t xml:space="preserve"> </w:t>
      </w:r>
      <w:r w:rsidR="00CF3C46">
        <w:t>organizatio</w:t>
      </w:r>
      <w:r w:rsidR="00305140">
        <w:t>n</w:t>
      </w:r>
      <w:r w:rsidR="00CF3C46">
        <w:t xml:space="preserve"> </w:t>
      </w:r>
      <w:r w:rsidR="00FB73D3" w:rsidRPr="00390B67">
        <w:t xml:space="preserve">to sidestep difficulties in </w:t>
      </w:r>
      <w:r w:rsidR="00CF3C46">
        <w:t>building</w:t>
      </w:r>
      <w:r w:rsidR="00FB73D3" w:rsidRPr="00390B67">
        <w:t xml:space="preserve"> consensus. </w:t>
      </w:r>
      <w:r w:rsidR="000A4772">
        <w:t>M</w:t>
      </w:r>
      <w:r w:rsidR="00FB73D3" w:rsidRPr="00390B67">
        <w:t>odular</w:t>
      </w:r>
      <w:r w:rsidR="000A4772">
        <w:t>ity</w:t>
      </w:r>
      <w:r w:rsidR="00CF3C46">
        <w:t xml:space="preserve"> </w:t>
      </w:r>
      <w:r w:rsidR="00FB73D3" w:rsidRPr="00390B67">
        <w:t>enabl</w:t>
      </w:r>
      <w:r w:rsidR="00CF3C46">
        <w:t>e</w:t>
      </w:r>
      <w:r w:rsidR="00DA30C8">
        <w:t>s</w:t>
      </w:r>
      <w:r w:rsidR="00FB73D3" w:rsidRPr="00390B67">
        <w:t xml:space="preserve"> </w:t>
      </w:r>
      <w:r w:rsidR="00DA30C8">
        <w:t xml:space="preserve">independent </w:t>
      </w:r>
      <w:r w:rsidR="00FB73D3" w:rsidRPr="00390B67">
        <w:t>actors</w:t>
      </w:r>
      <w:r w:rsidR="000A4772">
        <w:t xml:space="preserve"> unified by a goal</w:t>
      </w:r>
      <w:r w:rsidR="00FB73D3" w:rsidRPr="00390B67">
        <w:t xml:space="preserve"> to </w:t>
      </w:r>
      <w:r w:rsidR="005E4315">
        <w:t>make individual choices</w:t>
      </w:r>
      <w:r w:rsidR="005E4315" w:rsidRPr="00390B67">
        <w:t xml:space="preserve"> </w:t>
      </w:r>
      <w:r w:rsidR="00FB73D3" w:rsidRPr="00390B67">
        <w:t xml:space="preserve">with limited need to </w:t>
      </w:r>
      <w:r w:rsidR="005E4315">
        <w:t>interact</w:t>
      </w:r>
      <w:r w:rsidR="001353C3">
        <w:t xml:space="preserve"> </w:t>
      </w:r>
      <w:r w:rsidR="00FB73D3" w:rsidRPr="00390B67">
        <w:t xml:space="preserve">with one another (Baldwin and Clark 2000). </w:t>
      </w:r>
      <w:r w:rsidR="005E4315">
        <w:t xml:space="preserve">But capital-intensive </w:t>
      </w:r>
      <w:r w:rsidR="00C63BC7">
        <w:t>project</w:t>
      </w:r>
      <w:r w:rsidR="00CF3C46">
        <w:t>s</w:t>
      </w:r>
      <w:r w:rsidR="00C63BC7">
        <w:t xml:space="preserve"> produce</w:t>
      </w:r>
      <w:r w:rsidR="005E4315">
        <w:t xml:space="preserve"> </w:t>
      </w:r>
      <w:r w:rsidR="005E4315" w:rsidRPr="00F91E96">
        <w:rPr>
          <w:i/>
        </w:rPr>
        <w:t>one-off</w:t>
      </w:r>
      <w:r w:rsidR="005E4315">
        <w:t xml:space="preserve"> assets </w:t>
      </w:r>
      <w:r w:rsidR="00FE6C9C">
        <w:t>that</w:t>
      </w:r>
      <w:r w:rsidR="00472383">
        <w:t xml:space="preserve"> impact multiple</w:t>
      </w:r>
      <w:r w:rsidR="00F6536B">
        <w:t xml:space="preserve"> autonomous</w:t>
      </w:r>
      <w:r w:rsidR="00472383">
        <w:t xml:space="preserve"> actors</w:t>
      </w:r>
      <w:r w:rsidR="005E4315">
        <w:t xml:space="preserve">. </w:t>
      </w:r>
      <w:r w:rsidR="00CF3C46">
        <w:t xml:space="preserve">Hence, multiple actors with rivalrous preferences will </w:t>
      </w:r>
      <w:r w:rsidR="00305140">
        <w:t>claim rights</w:t>
      </w:r>
      <w:r w:rsidR="000A4772">
        <w:t xml:space="preserve"> to </w:t>
      </w:r>
      <w:r w:rsidR="00CF3C46">
        <w:t xml:space="preserve">directly </w:t>
      </w:r>
      <w:r w:rsidR="000A4772">
        <w:t xml:space="preserve">influence </w:t>
      </w:r>
      <w:r w:rsidR="00F6536B">
        <w:t xml:space="preserve">the </w:t>
      </w:r>
      <w:r w:rsidR="00CF3C46">
        <w:t>planning decisions</w:t>
      </w:r>
      <w:r w:rsidR="000A4772">
        <w:t xml:space="preserve"> – this is</w:t>
      </w:r>
      <w:proofErr w:type="gramStart"/>
      <w:r w:rsidR="00305140">
        <w:t>,</w:t>
      </w:r>
      <w:proofErr w:type="gramEnd"/>
      <w:r w:rsidR="000A4772">
        <w:t xml:space="preserve"> </w:t>
      </w:r>
      <w:r w:rsidR="005905A2">
        <w:t xml:space="preserve">capital-intensive </w:t>
      </w:r>
      <w:r w:rsidR="00CF3C46">
        <w:t xml:space="preserve">planning </w:t>
      </w:r>
      <w:r w:rsidR="00F6536B">
        <w:t xml:space="preserve">choices </w:t>
      </w:r>
      <w:r w:rsidR="00CF3C46">
        <w:t>are</w:t>
      </w:r>
      <w:r w:rsidR="000A4772">
        <w:t xml:space="preserve"> </w:t>
      </w:r>
      <w:r w:rsidR="00CF3C46">
        <w:t xml:space="preserve">‘indivisible’ </w:t>
      </w:r>
      <w:r w:rsidR="00FB73D3" w:rsidRPr="00390B67">
        <w:t xml:space="preserve">(Gil and Baldwin 2013). </w:t>
      </w:r>
    </w:p>
    <w:p w14:paraId="22F9FC45" w14:textId="51227CE1" w:rsidR="00DD116E" w:rsidRDefault="000A4772" w:rsidP="00DD116E">
      <w:pPr>
        <w:widowControl w:val="0"/>
        <w:ind w:firstLine="425"/>
      </w:pPr>
      <w:r>
        <w:t>T</w:t>
      </w:r>
      <w:r w:rsidR="001353C3">
        <w:t>hese circumstances</w:t>
      </w:r>
      <w:r>
        <w:t xml:space="preserve"> leave</w:t>
      </w:r>
      <w:r w:rsidR="001353C3">
        <w:t xml:space="preserve"> the </w:t>
      </w:r>
      <w:r w:rsidR="00F2766C">
        <w:t xml:space="preserve">project </w:t>
      </w:r>
      <w:r w:rsidR="001353C3">
        <w:t xml:space="preserve">promoter with a </w:t>
      </w:r>
      <w:r w:rsidR="00305140">
        <w:t>complex</w:t>
      </w:r>
      <w:r w:rsidR="00D4196F">
        <w:t xml:space="preserve"> </w:t>
      </w:r>
      <w:r w:rsidR="00CF3C46">
        <w:t xml:space="preserve">management </w:t>
      </w:r>
      <w:r w:rsidR="00CC4968">
        <w:t>problem</w:t>
      </w:r>
      <w:r w:rsidR="004429A1">
        <w:t>—a</w:t>
      </w:r>
      <w:r w:rsidR="001353C3">
        <w:t xml:space="preserve">s </w:t>
      </w:r>
      <w:proofErr w:type="spellStart"/>
      <w:r w:rsidR="00DD116E">
        <w:t>Rittel</w:t>
      </w:r>
      <w:proofErr w:type="spellEnd"/>
      <w:r w:rsidR="00DD116E">
        <w:t xml:space="preserve"> and Webber (1973</w:t>
      </w:r>
      <w:r w:rsidR="00FE6C9C">
        <w:t>: p. 160</w:t>
      </w:r>
      <w:r w:rsidR="00DD116E">
        <w:t xml:space="preserve">) put it, ‘the plurality of objectives held by pluralities of politics makes it impossible to pursue unitary aims’. </w:t>
      </w:r>
      <w:r w:rsidR="00305140">
        <w:t>However, although p</w:t>
      </w:r>
      <w:r w:rsidR="00DA30C8">
        <w:t>luralistic</w:t>
      </w:r>
      <w:r w:rsidR="00305140">
        <w:t xml:space="preserve"> settings are so complex that</w:t>
      </w:r>
      <w:r w:rsidR="00564D77">
        <w:t xml:space="preserve"> </w:t>
      </w:r>
      <w:r w:rsidR="00FE6C9C">
        <w:t xml:space="preserve">they </w:t>
      </w:r>
      <w:r w:rsidR="00534A21" w:rsidRPr="00390B67">
        <w:t>resemble</w:t>
      </w:r>
      <w:r w:rsidR="00BB6171" w:rsidRPr="00390B67">
        <w:t xml:space="preserve"> ‘organised anarchies’</w:t>
      </w:r>
      <w:r w:rsidR="00534A21" w:rsidRPr="00390B67">
        <w:t xml:space="preserve"> </w:t>
      </w:r>
      <w:r w:rsidR="00534A21" w:rsidRPr="00390B67">
        <w:lastRenderedPageBreak/>
        <w:t>(Cohen et al. 1972)</w:t>
      </w:r>
      <w:r w:rsidR="00305140">
        <w:t xml:space="preserve">, </w:t>
      </w:r>
      <w:r w:rsidR="00DD116E">
        <w:t xml:space="preserve">theorists in collective action </w:t>
      </w:r>
      <w:r w:rsidR="00083299">
        <w:t>claim</w:t>
      </w:r>
      <w:r w:rsidR="00F6536B">
        <w:t xml:space="preserve"> that</w:t>
      </w:r>
      <w:r w:rsidR="00472383">
        <w:t xml:space="preserve"> </w:t>
      </w:r>
      <w:r w:rsidR="00C63BC7">
        <w:t>managers</w:t>
      </w:r>
      <w:r w:rsidR="00083299">
        <w:t xml:space="preserve"> </w:t>
      </w:r>
      <w:r w:rsidR="004429A1">
        <w:t>intuitively design</w:t>
      </w:r>
      <w:r w:rsidR="00DD116E">
        <w:t xml:space="preserve"> structures to attenuate </w:t>
      </w:r>
      <w:r w:rsidR="007F6E00">
        <w:t xml:space="preserve">this </w:t>
      </w:r>
      <w:r w:rsidR="00DD116E">
        <w:t>complexity</w:t>
      </w:r>
      <w:r w:rsidR="004429A1" w:rsidRPr="004429A1">
        <w:t xml:space="preserve"> </w:t>
      </w:r>
      <w:r w:rsidR="004429A1">
        <w:t>(</w:t>
      </w:r>
      <w:proofErr w:type="spellStart"/>
      <w:r w:rsidR="004429A1">
        <w:t>Ostrom</w:t>
      </w:r>
      <w:proofErr w:type="spellEnd"/>
      <w:r w:rsidR="004429A1">
        <w:t xml:space="preserve"> 1990</w:t>
      </w:r>
      <w:r w:rsidR="00CC4968">
        <w:t xml:space="preserve">, </w:t>
      </w:r>
      <w:r w:rsidR="005905A2">
        <w:t xml:space="preserve">2010, </w:t>
      </w:r>
      <w:r w:rsidR="00CC4968" w:rsidRPr="00390B67">
        <w:t>Dietz et al. 2003</w:t>
      </w:r>
      <w:r w:rsidR="004429A1">
        <w:t>). O</w:t>
      </w:r>
      <w:r w:rsidR="00DD116E">
        <w:t xml:space="preserve">ne way to </w:t>
      </w:r>
      <w:r w:rsidR="004429A1">
        <w:t>do so</w:t>
      </w:r>
      <w:r w:rsidR="00DD116E">
        <w:t xml:space="preserve"> is by creating </w:t>
      </w:r>
      <w:r w:rsidR="00CF5F76" w:rsidRPr="00390B67">
        <w:t>polycentric</w:t>
      </w:r>
      <w:r w:rsidR="00DD116E">
        <w:t xml:space="preserve"> </w:t>
      </w:r>
      <w:r w:rsidR="00EA09A1">
        <w:t>organizations</w:t>
      </w:r>
      <w:r w:rsidR="007F6E00">
        <w:t xml:space="preserve">; that is, </w:t>
      </w:r>
      <w:r w:rsidR="00DD116E">
        <w:t xml:space="preserve">by </w:t>
      </w:r>
      <w:r w:rsidR="00F46643" w:rsidRPr="00390B67">
        <w:t>decentralis</w:t>
      </w:r>
      <w:r w:rsidR="00DD116E">
        <w:t xml:space="preserve">ing authority </w:t>
      </w:r>
      <w:r w:rsidR="00F46643" w:rsidRPr="00390B67">
        <w:t>across</w:t>
      </w:r>
      <w:r w:rsidR="00CF5F76" w:rsidRPr="00390B67">
        <w:t xml:space="preserve"> </w:t>
      </w:r>
      <w:r w:rsidR="008C203A" w:rsidRPr="00390B67">
        <w:t xml:space="preserve">nested </w:t>
      </w:r>
      <w:r w:rsidR="00CF5F76" w:rsidRPr="00390B67">
        <w:t>centres of decision-making</w:t>
      </w:r>
      <w:r w:rsidR="00DD116E">
        <w:t xml:space="preserve">. </w:t>
      </w:r>
      <w:r w:rsidR="00305140">
        <w:t>Polycentric</w:t>
      </w:r>
      <w:r w:rsidR="0024441A">
        <w:t xml:space="preserve"> </w:t>
      </w:r>
      <w:r w:rsidR="00305140">
        <w:t xml:space="preserve">designs </w:t>
      </w:r>
      <w:r w:rsidR="0024441A">
        <w:t xml:space="preserve">have been observed in settings as diverse as water resources management in California </w:t>
      </w:r>
      <w:r w:rsidR="00305140">
        <w:t xml:space="preserve">and </w:t>
      </w:r>
      <w:r w:rsidR="0024441A">
        <w:t xml:space="preserve">police </w:t>
      </w:r>
      <w:r w:rsidR="00305140">
        <w:t xml:space="preserve">forces </w:t>
      </w:r>
      <w:r w:rsidR="0024441A">
        <w:t>in Indiana (</w:t>
      </w:r>
      <w:proofErr w:type="spellStart"/>
      <w:r w:rsidR="0024441A">
        <w:t>Ostrom</w:t>
      </w:r>
      <w:proofErr w:type="spellEnd"/>
      <w:r w:rsidR="0024441A">
        <w:t xml:space="preserve"> 1990). </w:t>
      </w:r>
      <w:r w:rsidR="00DD116E">
        <w:t>The idea resonates with the</w:t>
      </w:r>
      <w:r w:rsidR="007B0153">
        <w:t xml:space="preserve"> </w:t>
      </w:r>
      <w:r w:rsidR="00DD116E">
        <w:t>notion</w:t>
      </w:r>
      <w:r w:rsidR="00EA09A1">
        <w:t xml:space="preserve"> in organization literature</w:t>
      </w:r>
      <w:r w:rsidR="00DD116E">
        <w:t xml:space="preserve"> tha</w:t>
      </w:r>
      <w:r w:rsidR="00CC4968">
        <w:t>t</w:t>
      </w:r>
      <w:r w:rsidR="00DD116E">
        <w:t xml:space="preserve"> complexity can be reduced by</w:t>
      </w:r>
      <w:r w:rsidR="00DA30C8">
        <w:t xml:space="preserve"> </w:t>
      </w:r>
      <w:r w:rsidR="00DD116E">
        <w:t xml:space="preserve">grouping </w:t>
      </w:r>
      <w:r w:rsidR="00CC4968">
        <w:t xml:space="preserve">the participants </w:t>
      </w:r>
      <w:r w:rsidR="00DA30C8" w:rsidRPr="00DA30C8">
        <w:t xml:space="preserve">on the basis of either similarity </w:t>
      </w:r>
      <w:r w:rsidR="00DA30C8">
        <w:t xml:space="preserve">or complementarity of knowledge </w:t>
      </w:r>
      <w:r w:rsidR="00DD116E">
        <w:t>(</w:t>
      </w:r>
      <w:r w:rsidR="002D7AA8">
        <w:t>March and Simon 1958</w:t>
      </w:r>
      <w:r w:rsidR="00DA30C8">
        <w:t xml:space="preserve">, Thompson 1967, Nadler and </w:t>
      </w:r>
      <w:proofErr w:type="spellStart"/>
      <w:r w:rsidR="00DA30C8">
        <w:t>T</w:t>
      </w:r>
      <w:r w:rsidR="00DA30C8" w:rsidRPr="00DA30C8">
        <w:t>ushman</w:t>
      </w:r>
      <w:proofErr w:type="spellEnd"/>
      <w:r w:rsidR="00DA30C8" w:rsidRPr="00DA30C8">
        <w:t xml:space="preserve"> 19</w:t>
      </w:r>
      <w:r w:rsidR="00812BE8">
        <w:t>88</w:t>
      </w:r>
      <w:r w:rsidR="00F36FDC">
        <w:t xml:space="preserve">, Galbraith </w:t>
      </w:r>
      <w:r w:rsidR="00F36FDC" w:rsidRPr="00012E6C">
        <w:t>1973</w:t>
      </w:r>
      <w:r w:rsidR="00DA30C8" w:rsidRPr="00DA30C8">
        <w:t>)</w:t>
      </w:r>
      <w:r w:rsidR="002D7AA8">
        <w:t>.</w:t>
      </w:r>
      <w:r w:rsidR="00DD116E">
        <w:t xml:space="preserve"> </w:t>
      </w:r>
      <w:r w:rsidR="007F6E00">
        <w:t>However,</w:t>
      </w:r>
      <w:r w:rsidR="00083299">
        <w:t xml:space="preserve"> </w:t>
      </w:r>
      <w:r w:rsidR="00DD116E">
        <w:t>lack of</w:t>
      </w:r>
      <w:r w:rsidR="00EA09A1">
        <w:t xml:space="preserve"> in-depth</w:t>
      </w:r>
      <w:r w:rsidR="00DD116E">
        <w:t xml:space="preserve"> studies </w:t>
      </w:r>
      <w:r w:rsidR="002D7AA8">
        <w:t>limits our</w:t>
      </w:r>
      <w:r w:rsidR="00DD116E">
        <w:t xml:space="preserve"> knowledge </w:t>
      </w:r>
      <w:r w:rsidR="00CF3C46">
        <w:t>o</w:t>
      </w:r>
      <w:r w:rsidR="00DA30C8">
        <w:t>f</w:t>
      </w:r>
      <w:r w:rsidR="00CF3C46">
        <w:t xml:space="preserve"> how</w:t>
      </w:r>
      <w:r w:rsidR="002D7AA8">
        <w:t xml:space="preserve"> </w:t>
      </w:r>
      <w:r w:rsidR="00CC4968">
        <w:t xml:space="preserve">these </w:t>
      </w:r>
      <w:r w:rsidR="00DD116E">
        <w:t>ideas extend into</w:t>
      </w:r>
      <w:r w:rsidR="00CC4968">
        <w:t xml:space="preserve"> </w:t>
      </w:r>
      <w:r w:rsidR="00EA09A1">
        <w:t xml:space="preserve">capital-intensive </w:t>
      </w:r>
      <w:r w:rsidR="002D7AA8">
        <w:t>project</w:t>
      </w:r>
      <w:r w:rsidR="00305140">
        <w:t>s.</w:t>
      </w:r>
      <w:r w:rsidR="00CC4968">
        <w:t xml:space="preserve"> </w:t>
      </w:r>
    </w:p>
    <w:p w14:paraId="520D8A8A" w14:textId="17DF2517" w:rsidR="00054C80" w:rsidRDefault="00DD1E95" w:rsidP="00021A11">
      <w:r>
        <w:t>Related to this</w:t>
      </w:r>
      <w:r w:rsidR="007F6E00">
        <w:t xml:space="preserve"> issue</w:t>
      </w:r>
      <w:r>
        <w:t>, we</w:t>
      </w:r>
      <w:r w:rsidR="008223B5">
        <w:t xml:space="preserve"> also know little </w:t>
      </w:r>
      <w:r w:rsidR="007F6E00">
        <w:t xml:space="preserve">about </w:t>
      </w:r>
      <w:r w:rsidR="008223B5">
        <w:t>how</w:t>
      </w:r>
      <w:r w:rsidR="00110317">
        <w:t xml:space="preserve"> the project</w:t>
      </w:r>
      <w:r w:rsidR="008223B5">
        <w:t xml:space="preserve"> </w:t>
      </w:r>
      <w:r w:rsidR="00110317">
        <w:t xml:space="preserve">promoter can manipulate the design of the </w:t>
      </w:r>
      <w:r w:rsidR="008223B5">
        <w:t>capital-intensive project organization</w:t>
      </w:r>
      <w:r w:rsidR="00110317">
        <w:t xml:space="preserve"> in planning </w:t>
      </w:r>
      <w:r w:rsidR="008223B5">
        <w:t>to cope with the high levels of interdependency with t</w:t>
      </w:r>
      <w:r w:rsidR="007B0153">
        <w:t>he environment</w:t>
      </w:r>
      <w:r w:rsidR="002D7AA8">
        <w:t>.</w:t>
      </w:r>
      <w:r w:rsidR="008223B5">
        <w:t xml:space="preserve"> </w:t>
      </w:r>
      <w:r w:rsidR="00083299">
        <w:t>P</w:t>
      </w:r>
      <w:r w:rsidR="007B0153">
        <w:t>lanning</w:t>
      </w:r>
      <w:r w:rsidR="00EA09A1">
        <w:t xml:space="preserve"> decisions</w:t>
      </w:r>
      <w:r w:rsidR="00083299">
        <w:t xml:space="preserve"> are contentious because they</w:t>
      </w:r>
      <w:r w:rsidR="007B0153">
        <w:t xml:space="preserve"> allocat</w:t>
      </w:r>
      <w:r w:rsidR="00EA09A1">
        <w:t>e</w:t>
      </w:r>
      <w:r w:rsidR="007B0153">
        <w:t xml:space="preserve"> </w:t>
      </w:r>
      <w:r w:rsidR="00CF3C46">
        <w:t>resources</w:t>
      </w:r>
      <w:r w:rsidR="008223B5">
        <w:t xml:space="preserve"> </w:t>
      </w:r>
      <w:r w:rsidR="00EA09A1">
        <w:t xml:space="preserve">in ways that </w:t>
      </w:r>
      <w:r w:rsidR="007B0153">
        <w:t>are hard to reverse and impact</w:t>
      </w:r>
      <w:r w:rsidR="002D7AA8">
        <w:t xml:space="preserve"> </w:t>
      </w:r>
      <w:r w:rsidR="00083299">
        <w:t xml:space="preserve">the </w:t>
      </w:r>
      <w:r w:rsidR="002D7AA8">
        <w:t>property rights</w:t>
      </w:r>
      <w:r w:rsidR="008223B5">
        <w:t xml:space="preserve"> of many</w:t>
      </w:r>
      <w:r w:rsidR="00083299">
        <w:t xml:space="preserve"> </w:t>
      </w:r>
      <w:r w:rsidR="008223B5">
        <w:t xml:space="preserve">actors. </w:t>
      </w:r>
      <w:r w:rsidR="00C33BB5">
        <w:t>Since not</w:t>
      </w:r>
      <w:r w:rsidR="008223B5">
        <w:t xml:space="preserve"> all environmental actors</w:t>
      </w:r>
      <w:r w:rsidR="002840AF">
        <w:t xml:space="preserve"> impacted by </w:t>
      </w:r>
      <w:r w:rsidR="00EA09A1">
        <w:t>the</w:t>
      </w:r>
      <w:r w:rsidR="002840AF">
        <w:t xml:space="preserve"> decisions</w:t>
      </w:r>
      <w:r w:rsidR="008223B5">
        <w:t xml:space="preserve"> can be co-opted</w:t>
      </w:r>
      <w:r w:rsidR="00C33BB5">
        <w:t>,</w:t>
      </w:r>
      <w:r w:rsidR="002840AF">
        <w:t xml:space="preserve"> </w:t>
      </w:r>
      <w:r w:rsidR="00EA09A1">
        <w:t>planning</w:t>
      </w:r>
      <w:r w:rsidR="007B0153">
        <w:t xml:space="preserve"> decisions are scrutinised by numerous</w:t>
      </w:r>
      <w:r w:rsidR="002D7AA8">
        <w:t xml:space="preserve"> third parties</w:t>
      </w:r>
      <w:r w:rsidR="00F2766C">
        <w:t xml:space="preserve"> </w:t>
      </w:r>
      <w:r w:rsidR="007B0153">
        <w:t>including</w:t>
      </w:r>
      <w:r w:rsidR="002D7AA8">
        <w:t xml:space="preserve"> the</w:t>
      </w:r>
      <w:r w:rsidR="00C33BB5">
        <w:t xml:space="preserve"> </w:t>
      </w:r>
      <w:r w:rsidR="002D7AA8">
        <w:t>public, press, regulators</w:t>
      </w:r>
      <w:r w:rsidR="007B0153">
        <w:t>,</w:t>
      </w:r>
      <w:r w:rsidR="002D7AA8">
        <w:t xml:space="preserve"> and spending watchdogs. </w:t>
      </w:r>
      <w:r w:rsidR="00672C59">
        <w:t xml:space="preserve">This </w:t>
      </w:r>
      <w:r w:rsidR="002D7AA8">
        <w:t>interdependence</w:t>
      </w:r>
      <w:r w:rsidR="00C33BB5">
        <w:t xml:space="preserve"> </w:t>
      </w:r>
      <w:r w:rsidR="002D7AA8">
        <w:t xml:space="preserve">puts pressure on the promoter to </w:t>
      </w:r>
      <w:r w:rsidR="00054C80" w:rsidRPr="00FD189F">
        <w:t>‘lock in’ early on performance targets.</w:t>
      </w:r>
      <w:r w:rsidR="00054C80">
        <w:t xml:space="preserve"> Early </w:t>
      </w:r>
      <w:r w:rsidR="00054C80" w:rsidRPr="00021A11">
        <w:t xml:space="preserve">commitments </w:t>
      </w:r>
      <w:r w:rsidR="004F339D">
        <w:t>reduce</w:t>
      </w:r>
      <w:r w:rsidR="004F339D" w:rsidRPr="00015C37">
        <w:t xml:space="preserve"> </w:t>
      </w:r>
      <w:r w:rsidR="00054C80" w:rsidRPr="00015C37">
        <w:t xml:space="preserve">ambiguity in the cost-benefit analysis and </w:t>
      </w:r>
      <w:r w:rsidR="00FE4A59" w:rsidRPr="00015C37">
        <w:t>give the promoter</w:t>
      </w:r>
      <w:r w:rsidR="00083299">
        <w:t xml:space="preserve"> </w:t>
      </w:r>
      <w:r w:rsidR="007F6E00">
        <w:t>a kind of ‘pseudo-</w:t>
      </w:r>
      <w:r w:rsidR="00FE4A59" w:rsidRPr="00015C37">
        <w:t>legitimacy</w:t>
      </w:r>
      <w:r w:rsidR="007F6E00">
        <w:t>’</w:t>
      </w:r>
      <w:r w:rsidR="00054C80" w:rsidRPr="00015C37">
        <w:t xml:space="preserve"> to </w:t>
      </w:r>
      <w:r w:rsidR="00C33BB5">
        <w:t>acquire</w:t>
      </w:r>
      <w:r w:rsidR="00FE4A59" w:rsidRPr="00015C37">
        <w:t xml:space="preserve"> </w:t>
      </w:r>
      <w:r w:rsidR="00054C80" w:rsidRPr="00015C37">
        <w:t>the resources necessary to achieve the goal (Stone and Brush 1996).</w:t>
      </w:r>
      <w:r w:rsidR="00FE4A59" w:rsidRPr="00021A11">
        <w:t xml:space="preserve"> However, bounded rationality </w:t>
      </w:r>
      <w:r w:rsidR="00EA09A1">
        <w:t>makes it hard for</w:t>
      </w:r>
      <w:r w:rsidR="00EA09A1" w:rsidRPr="00021A11">
        <w:t xml:space="preserve"> </w:t>
      </w:r>
      <w:r w:rsidR="00FE4A59" w:rsidRPr="00021A11">
        <w:t xml:space="preserve">the promoter </w:t>
      </w:r>
      <w:r w:rsidR="00EA09A1">
        <w:t>to</w:t>
      </w:r>
      <w:r w:rsidR="00EA09A1" w:rsidRPr="00021A11">
        <w:t xml:space="preserve"> </w:t>
      </w:r>
      <w:r w:rsidR="00FE4A59" w:rsidRPr="00021A11">
        <w:t>set</w:t>
      </w:r>
      <w:r w:rsidR="00C33BB5">
        <w:t xml:space="preserve"> </w:t>
      </w:r>
      <w:r w:rsidR="00FE4A59" w:rsidRPr="00021A11">
        <w:t>targets</w:t>
      </w:r>
      <w:r w:rsidR="00110317">
        <w:t xml:space="preserve"> that </w:t>
      </w:r>
      <w:r w:rsidR="00F6536B">
        <w:t xml:space="preserve">can </w:t>
      </w:r>
      <w:r w:rsidR="00110317">
        <w:t>accurately predict the</w:t>
      </w:r>
      <w:r w:rsidR="00EA09A1">
        <w:t xml:space="preserve"> </w:t>
      </w:r>
      <w:r>
        <w:t>outcomes of the</w:t>
      </w:r>
      <w:r w:rsidR="00083299">
        <w:t xml:space="preserve"> ensuing</w:t>
      </w:r>
      <w:r w:rsidR="003355C2">
        <w:t xml:space="preserve"> </w:t>
      </w:r>
      <w:r w:rsidR="00672C59">
        <w:t>search</w:t>
      </w:r>
      <w:r w:rsidR="00C33BB5">
        <w:t>es</w:t>
      </w:r>
      <w:r w:rsidR="00672C59">
        <w:t xml:space="preserve"> for </w:t>
      </w:r>
      <w:r w:rsidR="004F339D">
        <w:t>consensus</w:t>
      </w:r>
      <w:r w:rsidR="00FE4A59" w:rsidRPr="00021A11">
        <w:t xml:space="preserve">. </w:t>
      </w:r>
      <w:r w:rsidR="0060433A">
        <w:t xml:space="preserve">Furthermore, were the promoter to set </w:t>
      </w:r>
      <w:r w:rsidR="003355C2">
        <w:t xml:space="preserve">overly </w:t>
      </w:r>
      <w:r w:rsidR="0060433A">
        <w:t>conservative targets</w:t>
      </w:r>
      <w:r w:rsidR="007F6E00">
        <w:t>,</w:t>
      </w:r>
      <w:r w:rsidR="0060433A">
        <w:t xml:space="preserve"> planning could </w:t>
      </w:r>
      <w:r w:rsidR="0031789E">
        <w:t xml:space="preserve">collapse </w:t>
      </w:r>
      <w:r w:rsidR="0060433A">
        <w:t xml:space="preserve">because the </w:t>
      </w:r>
      <w:r w:rsidR="00EA09A1">
        <w:t xml:space="preserve">project </w:t>
      </w:r>
      <w:r w:rsidR="003355C2">
        <w:t xml:space="preserve">idea </w:t>
      </w:r>
      <w:r w:rsidR="0060433A">
        <w:t xml:space="preserve">would be </w:t>
      </w:r>
      <w:r w:rsidR="007F6E00">
        <w:t xml:space="preserve">neither </w:t>
      </w:r>
      <w:r w:rsidR="0060433A">
        <w:t>convincing</w:t>
      </w:r>
      <w:r w:rsidR="007F6E00">
        <w:t xml:space="preserve"> nor compelling</w:t>
      </w:r>
      <w:r w:rsidR="0060433A">
        <w:t>. As a result,</w:t>
      </w:r>
      <w:r w:rsidR="00672C59">
        <w:t xml:space="preserve"> the chances</w:t>
      </w:r>
      <w:r w:rsidR="004F339D">
        <w:t xml:space="preserve"> are real </w:t>
      </w:r>
      <w:r w:rsidR="007F6E00">
        <w:t xml:space="preserve">(and examples are innumerable) </w:t>
      </w:r>
      <w:r w:rsidR="004F339D">
        <w:t>that</w:t>
      </w:r>
      <w:r w:rsidR="00672C59">
        <w:t xml:space="preserve"> the promoter will </w:t>
      </w:r>
      <w:r w:rsidR="0060433A">
        <w:lastRenderedPageBreak/>
        <w:t>underestimate</w:t>
      </w:r>
      <w:r w:rsidR="00672C59">
        <w:t xml:space="preserve"> the</w:t>
      </w:r>
      <w:r w:rsidR="00C33BB5">
        <w:t xml:space="preserve"> </w:t>
      </w:r>
      <w:r w:rsidR="0060433A">
        <w:t xml:space="preserve">initial </w:t>
      </w:r>
      <w:r w:rsidR="00672C59">
        <w:t xml:space="preserve">targets. </w:t>
      </w:r>
      <w:r w:rsidR="00110317">
        <w:t>D</w:t>
      </w:r>
      <w:r w:rsidR="00EA09A1">
        <w:t xml:space="preserve">ifficulties to </w:t>
      </w:r>
      <w:r w:rsidR="003355C2">
        <w:t xml:space="preserve">build consensus </w:t>
      </w:r>
      <w:r w:rsidR="00110317">
        <w:t xml:space="preserve">will </w:t>
      </w:r>
      <w:r w:rsidR="003355C2">
        <w:t>make it tempting to</w:t>
      </w:r>
      <w:r w:rsidR="00EA09A1">
        <w:t xml:space="preserve"> </w:t>
      </w:r>
      <w:r w:rsidR="0031789E">
        <w:t>relax th</w:t>
      </w:r>
      <w:r w:rsidR="0041521D">
        <w:t>ose</w:t>
      </w:r>
      <w:r w:rsidR="003355C2">
        <w:t xml:space="preserve"> </w:t>
      </w:r>
      <w:r w:rsidR="004F339D">
        <w:t>targets to increase the solution space</w:t>
      </w:r>
      <w:r w:rsidR="00110317">
        <w:t>,</w:t>
      </w:r>
      <w:r w:rsidR="007F6E00">
        <w:t xml:space="preserve"> b</w:t>
      </w:r>
      <w:r w:rsidR="003355C2">
        <w:t>ut</w:t>
      </w:r>
      <w:r w:rsidR="00D32A9B" w:rsidRPr="00015C37">
        <w:t xml:space="preserve"> </w:t>
      </w:r>
      <w:r w:rsidR="004C4C03">
        <w:t xml:space="preserve">any </w:t>
      </w:r>
      <w:r w:rsidR="00D32A9B" w:rsidRPr="00015C37">
        <w:t xml:space="preserve">slippage in </w:t>
      </w:r>
      <w:r w:rsidR="00FE4A59" w:rsidRPr="00015C37">
        <w:t xml:space="preserve">the </w:t>
      </w:r>
      <w:r w:rsidR="00D32A9B" w:rsidRPr="00015C37">
        <w:t>targets</w:t>
      </w:r>
      <w:r w:rsidR="003355C2">
        <w:t xml:space="preserve"> </w:t>
      </w:r>
      <w:r w:rsidR="004C4C03">
        <w:t>risks</w:t>
      </w:r>
      <w:r w:rsidR="00D32A9B" w:rsidRPr="00015C37">
        <w:t xml:space="preserve"> erod</w:t>
      </w:r>
      <w:r w:rsidR="004C4C03">
        <w:t>ing</w:t>
      </w:r>
      <w:r w:rsidR="00D32A9B" w:rsidRPr="00015C37">
        <w:t xml:space="preserve"> </w:t>
      </w:r>
      <w:r w:rsidR="00FE4A59" w:rsidRPr="00015C37">
        <w:t xml:space="preserve">the promoter’s </w:t>
      </w:r>
      <w:r w:rsidR="00D32A9B" w:rsidRPr="00015C37">
        <w:t xml:space="preserve">legitimacy </w:t>
      </w:r>
      <w:r w:rsidR="004C4C03">
        <w:t xml:space="preserve">to ask for more resources </w:t>
      </w:r>
      <w:r w:rsidR="00D32A9B" w:rsidRPr="00015C37">
        <w:t>(Denis et al. 2011)</w:t>
      </w:r>
      <w:r w:rsidR="00083299">
        <w:t>.</w:t>
      </w:r>
    </w:p>
    <w:p w14:paraId="35F9788B" w14:textId="03E504D9" w:rsidR="007A55A7" w:rsidRPr="00390B67" w:rsidRDefault="0078058E" w:rsidP="00BF3E49">
      <w:r w:rsidRPr="00FD189F">
        <w:t xml:space="preserve">We </w:t>
      </w:r>
      <w:r w:rsidR="00F6536B">
        <w:t xml:space="preserve">turn now to </w:t>
      </w:r>
      <w:r w:rsidRPr="00FD189F">
        <w:t xml:space="preserve">discuss how we set off to investigate how </w:t>
      </w:r>
      <w:r w:rsidR="00D32A9B">
        <w:t xml:space="preserve">managers manipulate the </w:t>
      </w:r>
      <w:r w:rsidR="00F6536B">
        <w:t xml:space="preserve">project organization </w:t>
      </w:r>
      <w:r w:rsidR="0041521D">
        <w:t xml:space="preserve">architecture </w:t>
      </w:r>
      <w:r w:rsidR="00CF3C46">
        <w:t>to</w:t>
      </w:r>
      <w:r w:rsidR="00F6536B">
        <w:t xml:space="preserve"> balance the needs to co-opt resource-rich actors with the pressure to limit the amount of concessions and keep the project on target</w:t>
      </w:r>
      <w:r w:rsidR="002622CB">
        <w:t>.</w:t>
      </w:r>
    </w:p>
    <w:p w14:paraId="49B34366" w14:textId="377084A5" w:rsidR="00691AA7" w:rsidRPr="00390B67" w:rsidRDefault="00691AA7" w:rsidP="005A69DD">
      <w:pPr>
        <w:pStyle w:val="Heading1"/>
      </w:pPr>
      <w:r w:rsidRPr="00390B67">
        <w:t>RESEARCH DESIGN</w:t>
      </w:r>
      <w:r w:rsidR="00A33727" w:rsidRPr="00390B67">
        <w:t>,</w:t>
      </w:r>
      <w:r w:rsidRPr="00390B67">
        <w:t xml:space="preserve"> </w:t>
      </w:r>
      <w:r w:rsidR="00A33727" w:rsidRPr="00390B67">
        <w:t>SAMPLE, AND METHODS</w:t>
      </w:r>
    </w:p>
    <w:p w14:paraId="537F2550" w14:textId="377321EC" w:rsidR="00A33727" w:rsidRPr="00390B67" w:rsidRDefault="005D6968" w:rsidP="00476806">
      <w:r w:rsidRPr="00390B67">
        <w:t xml:space="preserve">This </w:t>
      </w:r>
      <w:r w:rsidR="00181003" w:rsidRPr="00390B67">
        <w:t xml:space="preserve">study </w:t>
      </w:r>
      <w:r w:rsidRPr="00390B67">
        <w:t xml:space="preserve">adopts a multiple-case </w:t>
      </w:r>
      <w:r w:rsidR="00181003" w:rsidRPr="00390B67">
        <w:t>research design</w:t>
      </w:r>
      <w:r w:rsidRPr="00390B67">
        <w:t xml:space="preserve"> with embedded units of analysis (</w:t>
      </w:r>
      <w:proofErr w:type="spellStart"/>
      <w:r w:rsidRPr="00390B67">
        <w:t>Eisenhardt</w:t>
      </w:r>
      <w:proofErr w:type="spellEnd"/>
      <w:r w:rsidRPr="00390B67">
        <w:t xml:space="preserve"> 1989, Yin 1984). Case studies allow researchers to incorporate contextual and temporal dimensions, and thus are suitable to explore novel ideas (</w:t>
      </w:r>
      <w:proofErr w:type="spellStart"/>
      <w:r w:rsidRPr="00390B67">
        <w:t>Eisenhardt</w:t>
      </w:r>
      <w:proofErr w:type="spellEnd"/>
      <w:r w:rsidRPr="00390B67">
        <w:t xml:space="preserve"> and </w:t>
      </w:r>
      <w:proofErr w:type="spellStart"/>
      <w:r w:rsidRPr="00390B67">
        <w:t>Graebner</w:t>
      </w:r>
      <w:proofErr w:type="spellEnd"/>
      <w:r w:rsidRPr="00390B67">
        <w:t xml:space="preserve"> 2007). </w:t>
      </w:r>
      <w:r w:rsidR="000F04D0" w:rsidRPr="00390B67">
        <w:rPr>
          <w:rStyle w:val="Strong"/>
        </w:rPr>
        <w:t xml:space="preserve">To advance theory </w:t>
      </w:r>
      <w:r w:rsidR="000F04D0" w:rsidRPr="00390B67">
        <w:rPr>
          <w:rStyle w:val="st"/>
          <w:rFonts w:eastAsia="Batang"/>
        </w:rPr>
        <w:t xml:space="preserve">and </w:t>
      </w:r>
      <w:r w:rsidR="000F04D0" w:rsidRPr="00390B67">
        <w:t xml:space="preserve">yield generalizable and robust insights we built a diverse sample </w:t>
      </w:r>
      <w:r w:rsidR="000F04D0" w:rsidRPr="00390B67">
        <w:rPr>
          <w:noProof/>
        </w:rPr>
        <w:t>(Siggelkow 2007)</w:t>
      </w:r>
      <w:r w:rsidR="000F04D0" w:rsidRPr="00390B67">
        <w:t xml:space="preserve">. </w:t>
      </w:r>
      <w:r w:rsidRPr="00390B67">
        <w:t>The sample consists of four</w:t>
      </w:r>
      <w:r w:rsidR="006F3604">
        <w:t xml:space="preserve"> </w:t>
      </w:r>
      <w:r w:rsidR="004C4C03">
        <w:t xml:space="preserve">large </w:t>
      </w:r>
      <w:r w:rsidRPr="00390B67">
        <w:t>infrastructure projects in the UK</w:t>
      </w:r>
      <w:r w:rsidRPr="00390B67">
        <w:rPr>
          <w:rStyle w:val="Strong"/>
        </w:rPr>
        <w:t xml:space="preserve">, and our </w:t>
      </w:r>
      <w:r w:rsidR="00181003" w:rsidRPr="00390B67">
        <w:rPr>
          <w:rStyle w:val="Strong"/>
        </w:rPr>
        <w:t xml:space="preserve">holistic </w:t>
      </w:r>
      <w:r w:rsidRPr="00390B67">
        <w:rPr>
          <w:rStyle w:val="Strong"/>
        </w:rPr>
        <w:t xml:space="preserve">question asks: </w:t>
      </w:r>
      <w:r w:rsidR="00732398">
        <w:rPr>
          <w:rStyle w:val="Strong"/>
        </w:rPr>
        <w:t xml:space="preserve">can we trace </w:t>
      </w:r>
      <w:r w:rsidR="004C4C03">
        <w:rPr>
          <w:rStyle w:val="Strong"/>
        </w:rPr>
        <w:t xml:space="preserve">project </w:t>
      </w:r>
      <w:r w:rsidR="00732398">
        <w:rPr>
          <w:rStyle w:val="Strong"/>
        </w:rPr>
        <w:t>performance</w:t>
      </w:r>
      <w:r w:rsidR="006F3604">
        <w:rPr>
          <w:rStyle w:val="Strong"/>
        </w:rPr>
        <w:t xml:space="preserve"> </w:t>
      </w:r>
      <w:r w:rsidR="00732398">
        <w:rPr>
          <w:rStyle w:val="Strong"/>
        </w:rPr>
        <w:t>back to</w:t>
      </w:r>
      <w:r w:rsidR="000F04D0">
        <w:rPr>
          <w:rStyle w:val="Strong"/>
        </w:rPr>
        <w:t xml:space="preserve"> </w:t>
      </w:r>
      <w:r w:rsidR="006F3604">
        <w:rPr>
          <w:rStyle w:val="Strong"/>
        </w:rPr>
        <w:t xml:space="preserve">the </w:t>
      </w:r>
      <w:r w:rsidR="004C4C03">
        <w:rPr>
          <w:rStyle w:val="Strong"/>
        </w:rPr>
        <w:t>design</w:t>
      </w:r>
      <w:r w:rsidR="006F3604">
        <w:rPr>
          <w:rStyle w:val="Strong"/>
        </w:rPr>
        <w:t xml:space="preserve"> of the project organization in the planning stage</w:t>
      </w:r>
      <w:r w:rsidRPr="00390B67">
        <w:rPr>
          <w:rStyle w:val="Strong"/>
        </w:rPr>
        <w:t xml:space="preserve">? </w:t>
      </w:r>
      <w:r w:rsidR="00061B96" w:rsidRPr="00390B67">
        <w:t>The sample includes</w:t>
      </w:r>
      <w:r w:rsidR="00DA4691" w:rsidRPr="00390B67">
        <w:t xml:space="preserve"> </w:t>
      </w:r>
      <w:r w:rsidR="00D66AD4" w:rsidRPr="00390B67">
        <w:t>four</w:t>
      </w:r>
      <w:r w:rsidR="00B75A2F" w:rsidRPr="00390B67">
        <w:t xml:space="preserve"> </w:t>
      </w:r>
      <w:r w:rsidR="00C873A2" w:rsidRPr="00390B67">
        <w:t xml:space="preserve">cases </w:t>
      </w:r>
      <w:r w:rsidR="00B86913" w:rsidRPr="00390B67">
        <w:t xml:space="preserve">for which </w:t>
      </w:r>
      <w:r w:rsidR="000B469A" w:rsidRPr="00390B67">
        <w:t>we</w:t>
      </w:r>
      <w:r w:rsidR="00E60032" w:rsidRPr="00390B67">
        <w:t xml:space="preserve"> </w:t>
      </w:r>
      <w:r w:rsidR="00B75A2F" w:rsidRPr="00390B67">
        <w:t>gained</w:t>
      </w:r>
      <w:r w:rsidR="00B86913" w:rsidRPr="00390B67">
        <w:t xml:space="preserve"> exceptional access to the</w:t>
      </w:r>
      <w:r w:rsidR="00181003" w:rsidRPr="00390B67">
        <w:t xml:space="preserve"> project leaders</w:t>
      </w:r>
      <w:r w:rsidR="00D66AD4" w:rsidRPr="00390B67">
        <w:t xml:space="preserve">: </w:t>
      </w:r>
      <w:proofErr w:type="spellStart"/>
      <w:r w:rsidR="004C4C03">
        <w:t>i</w:t>
      </w:r>
      <w:proofErr w:type="spellEnd"/>
      <w:r w:rsidR="004C4C03">
        <w:t xml:space="preserve">) </w:t>
      </w:r>
      <w:r w:rsidR="00B75A2F" w:rsidRPr="00390B67">
        <w:t xml:space="preserve">London Crossrail, a high-capacity railway; </w:t>
      </w:r>
      <w:r w:rsidR="004C4C03">
        <w:t xml:space="preserve">ii) </w:t>
      </w:r>
      <w:r w:rsidR="00B75A2F" w:rsidRPr="00390B67">
        <w:t>London</w:t>
      </w:r>
      <w:r w:rsidR="00472ED5" w:rsidRPr="00390B67">
        <w:t xml:space="preserve"> </w:t>
      </w:r>
      <w:r w:rsidR="00B75A2F" w:rsidRPr="00390B67">
        <w:t xml:space="preserve">Olympic park; </w:t>
      </w:r>
      <w:r w:rsidR="004C4C03">
        <w:t xml:space="preserve">iii) </w:t>
      </w:r>
      <w:r w:rsidR="00472ED5" w:rsidRPr="00390B67">
        <w:t>Heathrow</w:t>
      </w:r>
      <w:r w:rsidR="00B75A2F" w:rsidRPr="00390B67">
        <w:t xml:space="preserve"> </w:t>
      </w:r>
      <w:r w:rsidR="005B67AA">
        <w:t>A</w:t>
      </w:r>
      <w:r w:rsidR="00B75A2F" w:rsidRPr="00390B67">
        <w:t xml:space="preserve">irport </w:t>
      </w:r>
      <w:r w:rsidR="00083299">
        <w:t>T</w:t>
      </w:r>
      <w:r w:rsidR="00B75A2F" w:rsidRPr="00390B67">
        <w:t xml:space="preserve">erminal </w:t>
      </w:r>
      <w:r w:rsidR="00083299">
        <w:t>2</w:t>
      </w:r>
      <w:r w:rsidR="00083299" w:rsidRPr="00390B67">
        <w:t xml:space="preserve"> </w:t>
      </w:r>
      <w:r w:rsidR="00B75A2F" w:rsidRPr="00390B67">
        <w:t>(T2); and</w:t>
      </w:r>
      <w:r w:rsidR="004C4C03">
        <w:t xml:space="preserve"> iv)</w:t>
      </w:r>
      <w:r w:rsidR="00B75A2F" w:rsidRPr="00390B67">
        <w:t xml:space="preserve"> </w:t>
      </w:r>
      <w:r w:rsidR="002622CB">
        <w:t>UK</w:t>
      </w:r>
      <w:r w:rsidR="00B75A2F" w:rsidRPr="00390B67">
        <w:t xml:space="preserve"> second high-speed railway (HS2)</w:t>
      </w:r>
      <w:r w:rsidR="00B775B9" w:rsidRPr="00390B67">
        <w:t xml:space="preserve">. Table 1 </w:t>
      </w:r>
      <w:r w:rsidR="009E2F32" w:rsidRPr="00390B67">
        <w:t>summarises</w:t>
      </w:r>
      <w:r w:rsidR="00B775B9" w:rsidRPr="00390B67">
        <w:t xml:space="preserve"> </w:t>
      </w:r>
      <w:r w:rsidR="009124A7" w:rsidRPr="00390B67">
        <w:t xml:space="preserve">for each </w:t>
      </w:r>
      <w:r w:rsidR="001746E3" w:rsidRPr="00390B67">
        <w:t xml:space="preserve">case </w:t>
      </w:r>
      <w:r w:rsidR="002622CB" w:rsidRPr="00390B67">
        <w:t xml:space="preserve">the </w:t>
      </w:r>
      <w:r w:rsidR="000F04D0">
        <w:t xml:space="preserve">system </w:t>
      </w:r>
      <w:r w:rsidR="002622CB" w:rsidRPr="00390B67">
        <w:t>goal</w:t>
      </w:r>
      <w:r w:rsidR="002622CB">
        <w:t>,</w:t>
      </w:r>
      <w:r w:rsidR="002622CB" w:rsidRPr="00390B67">
        <w:t xml:space="preserve"> </w:t>
      </w:r>
      <w:r w:rsidR="00A26659" w:rsidRPr="00390B67">
        <w:t>the</w:t>
      </w:r>
      <w:r w:rsidR="00A26659">
        <w:t xml:space="preserve"> </w:t>
      </w:r>
      <w:r w:rsidR="006F3604">
        <w:t>actors</w:t>
      </w:r>
      <w:r w:rsidR="006F3604" w:rsidRPr="00390B67">
        <w:t xml:space="preserve"> </w:t>
      </w:r>
      <w:r w:rsidR="000F04D0" w:rsidRPr="00390B67">
        <w:t>promot</w:t>
      </w:r>
      <w:r w:rsidR="000F04D0">
        <w:t>ing the project</w:t>
      </w:r>
      <w:r w:rsidR="009124A7" w:rsidRPr="00390B67">
        <w:t>, the</w:t>
      </w:r>
      <w:r w:rsidR="000C65E8">
        <w:t xml:space="preserve"> outcome of the planning effort</w:t>
      </w:r>
      <w:r w:rsidR="009124A7" w:rsidRPr="00390B67">
        <w:t>,</w:t>
      </w:r>
      <w:r w:rsidR="00B775B9" w:rsidRPr="00390B67">
        <w:t xml:space="preserve"> and data sources</w:t>
      </w:r>
      <w:r w:rsidR="00476806">
        <w:t xml:space="preserve">; </w:t>
      </w:r>
      <w:r w:rsidR="005B67AA">
        <w:t>A</w:t>
      </w:r>
      <w:r w:rsidR="00B86913" w:rsidRPr="00390B67">
        <w:t xml:space="preserve">ppendix I </w:t>
      </w:r>
      <w:r w:rsidR="00B75A2F" w:rsidRPr="00390B67">
        <w:t xml:space="preserve">summarises </w:t>
      </w:r>
      <w:r w:rsidR="00F43699">
        <w:t xml:space="preserve">the project </w:t>
      </w:r>
      <w:r w:rsidR="00F43699" w:rsidRPr="00390B67">
        <w:t>timescale</w:t>
      </w:r>
      <w:r w:rsidR="00F43699">
        <w:t>,</w:t>
      </w:r>
      <w:r w:rsidR="00F43699" w:rsidRPr="00390B67">
        <w:t xml:space="preserve"> </w:t>
      </w:r>
      <w:r w:rsidR="00B75A2F" w:rsidRPr="00390B67">
        <w:t>prior histor</w:t>
      </w:r>
      <w:r w:rsidR="00476806">
        <w:t>y</w:t>
      </w:r>
      <w:r w:rsidR="00B75A2F" w:rsidRPr="00390B67">
        <w:t>,</w:t>
      </w:r>
      <w:r w:rsidR="005D478B" w:rsidRPr="00390B67">
        <w:t xml:space="preserve"> context</w:t>
      </w:r>
      <w:r w:rsidR="00472ED5" w:rsidRPr="00390B67">
        <w:t>,</w:t>
      </w:r>
      <w:r w:rsidR="005D478B" w:rsidRPr="00390B67">
        <w:t xml:space="preserve"> </w:t>
      </w:r>
      <w:r w:rsidR="00B75A2F" w:rsidRPr="00390B67">
        <w:t>an</w:t>
      </w:r>
      <w:r w:rsidR="00083299">
        <w:t>d</w:t>
      </w:r>
      <w:r w:rsidR="00B75A2F" w:rsidRPr="00390B67">
        <w:t xml:space="preserve"> evolution of the performance </w:t>
      </w:r>
      <w:r w:rsidR="000F04D0">
        <w:t>targets</w:t>
      </w:r>
      <w:r w:rsidR="00083299">
        <w:t xml:space="preserve"> over time</w:t>
      </w:r>
      <w:r w:rsidR="00D775F8" w:rsidRPr="00390B67">
        <w:t>.</w:t>
      </w:r>
    </w:p>
    <w:p w14:paraId="4FC74E32" w14:textId="77777777" w:rsidR="005807B4" w:rsidRPr="00390B67" w:rsidRDefault="00F254E5" w:rsidP="00B05AF5">
      <w:pPr>
        <w:pStyle w:val="Caption"/>
        <w:rPr>
          <w:rStyle w:val="Strong"/>
          <w:b/>
          <w:bCs w:val="0"/>
          <w:i w:val="0"/>
          <w:szCs w:val="24"/>
        </w:rPr>
      </w:pPr>
      <w:r w:rsidRPr="00390B67">
        <w:t>--</w:t>
      </w:r>
      <w:r w:rsidR="005552CE" w:rsidRPr="00390B67">
        <w:rPr>
          <w:rStyle w:val="Strong"/>
        </w:rPr>
        <w:t xml:space="preserve">Insert </w:t>
      </w:r>
      <w:r w:rsidRPr="00390B67">
        <w:rPr>
          <w:rStyle w:val="Strong"/>
        </w:rPr>
        <w:t xml:space="preserve">here </w:t>
      </w:r>
      <w:r w:rsidR="005552CE" w:rsidRPr="00390B67">
        <w:rPr>
          <w:rStyle w:val="Strong"/>
        </w:rPr>
        <w:t>Ta</w:t>
      </w:r>
      <w:r w:rsidR="00A33727" w:rsidRPr="00390B67">
        <w:rPr>
          <w:rStyle w:val="Strong"/>
        </w:rPr>
        <w:t>ble 1</w:t>
      </w:r>
      <w:r w:rsidR="006F1373" w:rsidRPr="00390B67">
        <w:rPr>
          <w:rStyle w:val="Strong"/>
        </w:rPr>
        <w:t xml:space="preserve"> </w:t>
      </w:r>
      <w:r w:rsidRPr="00390B67">
        <w:rPr>
          <w:rStyle w:val="Strong"/>
        </w:rPr>
        <w:t>--</w:t>
      </w:r>
    </w:p>
    <w:p w14:paraId="351A9E49" w14:textId="6D53CF9B" w:rsidR="00D66AD4" w:rsidRPr="00390B67" w:rsidRDefault="00F612E8" w:rsidP="004E189C">
      <w:r w:rsidRPr="00390B67">
        <w:t>We</w:t>
      </w:r>
      <w:r w:rsidR="000B245F" w:rsidRPr="00390B67">
        <w:t xml:space="preserve"> built </w:t>
      </w:r>
      <w:r w:rsidR="00C873A2" w:rsidRPr="00390B67">
        <w:t xml:space="preserve">this </w:t>
      </w:r>
      <w:r w:rsidR="00D66AD4" w:rsidRPr="00390B67">
        <w:t>sample</w:t>
      </w:r>
      <w:r w:rsidR="00CD6C1F" w:rsidRPr="00390B67">
        <w:t xml:space="preserve"> </w:t>
      </w:r>
      <w:r w:rsidR="00FA5E3E">
        <w:t>to</w:t>
      </w:r>
      <w:r w:rsidR="000B245F" w:rsidRPr="00390B67">
        <w:t xml:space="preserve"> increase the </w:t>
      </w:r>
      <w:r w:rsidR="00B64D5F" w:rsidRPr="00390B67">
        <w:t>generalizability of</w:t>
      </w:r>
      <w:r w:rsidR="000B245F" w:rsidRPr="00390B67">
        <w:t xml:space="preserve"> our </w:t>
      </w:r>
      <w:r w:rsidR="00DC4484">
        <w:t>insights</w:t>
      </w:r>
      <w:r w:rsidR="00D66AD4" w:rsidRPr="00390B67">
        <w:t>. First, the cases differ in the</w:t>
      </w:r>
      <w:r w:rsidR="001746E3" w:rsidRPr="00390B67">
        <w:t xml:space="preserve"> </w:t>
      </w:r>
      <w:r w:rsidR="00021A11">
        <w:t>architecture</w:t>
      </w:r>
      <w:r w:rsidR="00E47398">
        <w:t xml:space="preserve"> of the product under planning</w:t>
      </w:r>
      <w:r w:rsidR="00021A11">
        <w:t xml:space="preserve"> </w:t>
      </w:r>
      <w:r w:rsidR="004E189C" w:rsidRPr="00390B67">
        <w:t>(</w:t>
      </w:r>
      <w:r w:rsidR="00D66AD4" w:rsidRPr="00390B67">
        <w:t xml:space="preserve">Figure 1 illustrates this </w:t>
      </w:r>
      <w:r w:rsidR="005D6968" w:rsidRPr="00390B67">
        <w:t xml:space="preserve">point </w:t>
      </w:r>
      <w:r w:rsidR="00D66AD4" w:rsidRPr="00390B67">
        <w:t>in a stylised way</w:t>
      </w:r>
      <w:r w:rsidR="004E189C" w:rsidRPr="00390B67">
        <w:t>)</w:t>
      </w:r>
      <w:r w:rsidR="00D66AD4" w:rsidRPr="00390B67">
        <w:t xml:space="preserve">. </w:t>
      </w:r>
      <w:r w:rsidR="003B6039" w:rsidRPr="00390B67">
        <w:t>An</w:t>
      </w:r>
      <w:r w:rsidR="007A55A7" w:rsidRPr="00390B67">
        <w:t xml:space="preserve"> Olympic P</w:t>
      </w:r>
      <w:r w:rsidR="00D66AD4" w:rsidRPr="00390B67">
        <w:t>ark</w:t>
      </w:r>
      <w:r w:rsidR="00EC53A6" w:rsidRPr="00390B67">
        <w:t xml:space="preserve"> </w:t>
      </w:r>
      <w:r w:rsidR="0006249A" w:rsidRPr="00390B67">
        <w:t>suggest</w:t>
      </w:r>
      <w:r w:rsidR="00E47398">
        <w:t>s</w:t>
      </w:r>
      <w:r w:rsidR="0006249A" w:rsidRPr="00390B67">
        <w:t xml:space="preserve"> </w:t>
      </w:r>
      <w:r w:rsidR="00D66AD4" w:rsidRPr="00390B67">
        <w:t>a</w:t>
      </w:r>
      <w:r w:rsidR="00AD309D" w:rsidRPr="00390B67">
        <w:t xml:space="preserve"> </w:t>
      </w:r>
      <w:r w:rsidR="005552CE" w:rsidRPr="00390B67">
        <w:t>de</w:t>
      </w:r>
      <w:r w:rsidR="00A32DD0" w:rsidRPr="00390B67">
        <w:t>c</w:t>
      </w:r>
      <w:r w:rsidR="005552CE" w:rsidRPr="00390B67">
        <w:t xml:space="preserve">omposable </w:t>
      </w:r>
      <w:r w:rsidR="003D4126">
        <w:t>system</w:t>
      </w:r>
      <w:r w:rsidR="001D193F" w:rsidRPr="00390B67">
        <w:t xml:space="preserve">. </w:t>
      </w:r>
      <w:r w:rsidR="00EC53A6" w:rsidRPr="00390B67">
        <w:t>It</w:t>
      </w:r>
      <w:r w:rsidR="001D193F" w:rsidRPr="00390B67">
        <w:t xml:space="preserve"> comprises a </w:t>
      </w:r>
      <w:r w:rsidR="00D66AD4" w:rsidRPr="00390B67">
        <w:t xml:space="preserve">set of </w:t>
      </w:r>
      <w:r w:rsidR="003406B7">
        <w:t>sport venues</w:t>
      </w:r>
      <w:r w:rsidR="003406B7" w:rsidRPr="00390B67">
        <w:t xml:space="preserve"> </w:t>
      </w:r>
      <w:r w:rsidR="003B6039" w:rsidRPr="00390B67">
        <w:t>c</w:t>
      </w:r>
      <w:r w:rsidR="00470846" w:rsidRPr="00390B67">
        <w:t>onnect</w:t>
      </w:r>
      <w:r w:rsidR="003B6039" w:rsidRPr="00390B67">
        <w:t>ed by</w:t>
      </w:r>
      <w:r w:rsidR="00470846" w:rsidRPr="00390B67">
        <w:t xml:space="preserve"> </w:t>
      </w:r>
      <w:r w:rsidR="00C5593E" w:rsidRPr="00390B67">
        <w:t xml:space="preserve">underground utilities. But the </w:t>
      </w:r>
      <w:r w:rsidR="00B775B9" w:rsidRPr="00390B67">
        <w:t>utilitie</w:t>
      </w:r>
      <w:r w:rsidR="00C5593E" w:rsidRPr="00390B67">
        <w:t>s</w:t>
      </w:r>
      <w:r w:rsidR="001E55DA" w:rsidRPr="00390B67">
        <w:t xml:space="preserve"> are ‘slaves</w:t>
      </w:r>
      <w:r w:rsidR="005B67AA">
        <w:t>,</w:t>
      </w:r>
      <w:r w:rsidR="001E55DA" w:rsidRPr="00390B67">
        <w:t>’</w:t>
      </w:r>
      <w:r w:rsidR="00C5593E" w:rsidRPr="00390B67">
        <w:t xml:space="preserve"> designed</w:t>
      </w:r>
      <w:r w:rsidR="001746E3" w:rsidRPr="00390B67">
        <w:t xml:space="preserve"> </w:t>
      </w:r>
      <w:r w:rsidR="004B4EB1" w:rsidRPr="00390B67">
        <w:t>not</w:t>
      </w:r>
      <w:r w:rsidR="001746E3" w:rsidRPr="00390B67">
        <w:t xml:space="preserve"> </w:t>
      </w:r>
      <w:r w:rsidR="004D6B84" w:rsidRPr="00390B67">
        <w:t xml:space="preserve">to </w:t>
      </w:r>
      <w:r w:rsidR="001746E3" w:rsidRPr="00390B67">
        <w:t xml:space="preserve">constrain </w:t>
      </w:r>
      <w:r w:rsidR="000C65E8">
        <w:t>planning</w:t>
      </w:r>
      <w:r w:rsidR="00435EA3" w:rsidRPr="00390B67">
        <w:t xml:space="preserve"> </w:t>
      </w:r>
      <w:r w:rsidR="0041521D">
        <w:t xml:space="preserve">choices </w:t>
      </w:r>
      <w:r w:rsidR="00435EA3" w:rsidRPr="00390B67">
        <w:t>for</w:t>
      </w:r>
      <w:r w:rsidR="0041521D">
        <w:t xml:space="preserve"> the</w:t>
      </w:r>
      <w:r w:rsidR="001746E3" w:rsidRPr="00390B67">
        <w:t xml:space="preserve"> </w:t>
      </w:r>
      <w:r w:rsidR="004B4EB1" w:rsidRPr="00390B67">
        <w:t xml:space="preserve">high-value </w:t>
      </w:r>
      <w:r w:rsidR="003406B7">
        <w:t>assets</w:t>
      </w:r>
      <w:r w:rsidR="00C5593E" w:rsidRPr="00390B67">
        <w:t xml:space="preserve">. </w:t>
      </w:r>
      <w:r w:rsidR="00D66AD4" w:rsidRPr="00390B67">
        <w:t>In contrast,</w:t>
      </w:r>
      <w:r w:rsidR="00DD6600" w:rsidRPr="00390B67">
        <w:t xml:space="preserve"> </w:t>
      </w:r>
      <w:r w:rsidR="001746E3" w:rsidRPr="00390B67">
        <w:lastRenderedPageBreak/>
        <w:t>railway</w:t>
      </w:r>
      <w:r w:rsidR="00D91716" w:rsidRPr="00390B67">
        <w:t xml:space="preserve">s </w:t>
      </w:r>
      <w:r w:rsidR="009124A7" w:rsidRPr="00390B67">
        <w:t>are</w:t>
      </w:r>
      <w:r w:rsidR="00A16BA3">
        <w:t xml:space="preserve"> </w:t>
      </w:r>
      <w:r w:rsidR="0041521D">
        <w:t xml:space="preserve">much </w:t>
      </w:r>
      <w:r w:rsidR="00D65FEF" w:rsidRPr="00390B67">
        <w:t>less</w:t>
      </w:r>
      <w:r w:rsidR="0020051F" w:rsidRPr="00390B67">
        <w:t xml:space="preserve"> </w:t>
      </w:r>
      <w:r w:rsidR="001D193F" w:rsidRPr="00390B67">
        <w:t>decomposab</w:t>
      </w:r>
      <w:r w:rsidR="00D65FEF" w:rsidRPr="00390B67">
        <w:t>le</w:t>
      </w:r>
      <w:r w:rsidR="001D193F" w:rsidRPr="00390B67">
        <w:t xml:space="preserve">. </w:t>
      </w:r>
      <w:r w:rsidR="00DA041C" w:rsidRPr="00390B67">
        <w:t>A</w:t>
      </w:r>
      <w:r w:rsidR="00EC53A6" w:rsidRPr="00390B67">
        <w:t>ll</w:t>
      </w:r>
      <w:r w:rsidR="00D66AD4" w:rsidRPr="00390B67">
        <w:t xml:space="preserve"> stations connect</w:t>
      </w:r>
      <w:r w:rsidR="00BC6BC2" w:rsidRPr="00390B67">
        <w:t xml:space="preserve"> to the same</w:t>
      </w:r>
      <w:r w:rsidR="00D66AD4" w:rsidRPr="00390B67">
        <w:t xml:space="preserve"> track</w:t>
      </w:r>
      <w:r w:rsidR="003D4126">
        <w:t xml:space="preserve"> and</w:t>
      </w:r>
      <w:r w:rsidR="00CF3C46">
        <w:t xml:space="preserve"> </w:t>
      </w:r>
      <w:r w:rsidR="003D4126">
        <w:t>control systems,</w:t>
      </w:r>
      <w:r w:rsidR="00D66AD4" w:rsidRPr="00390B67">
        <w:t xml:space="preserve"> and must accommodate the same train cars. </w:t>
      </w:r>
      <w:r w:rsidR="00DA041C" w:rsidRPr="00390B67">
        <w:t>In turn</w:t>
      </w:r>
      <w:r w:rsidR="00AC45B3" w:rsidRPr="00390B67">
        <w:t>,</w:t>
      </w:r>
      <w:r w:rsidR="00DA041C" w:rsidRPr="00390B67">
        <w:t xml:space="preserve"> </w:t>
      </w:r>
      <w:r w:rsidR="00D91716" w:rsidRPr="00390B67">
        <w:t xml:space="preserve">an airport is suggestive of </w:t>
      </w:r>
      <w:r w:rsidR="00D66AD4" w:rsidRPr="00390B67">
        <w:t xml:space="preserve">a hybrid </w:t>
      </w:r>
      <w:r w:rsidR="00AD309D" w:rsidRPr="00390B67">
        <w:t>system</w:t>
      </w:r>
      <w:r w:rsidR="00C873A2" w:rsidRPr="00390B67">
        <w:t>—s</w:t>
      </w:r>
      <w:r w:rsidR="00D66AD4" w:rsidRPr="00390B67">
        <w:t>ome components are</w:t>
      </w:r>
      <w:r w:rsidR="003B6039" w:rsidRPr="00390B67">
        <w:t xml:space="preserve"> </w:t>
      </w:r>
      <w:r w:rsidR="003406B7">
        <w:t xml:space="preserve">physically </w:t>
      </w:r>
      <w:r w:rsidR="004B4EB1" w:rsidRPr="00390B67">
        <w:t>linked</w:t>
      </w:r>
      <w:r w:rsidR="00DA041C" w:rsidRPr="00390B67">
        <w:t>, for example,</w:t>
      </w:r>
      <w:r w:rsidR="003B5816" w:rsidRPr="00390B67">
        <w:t xml:space="preserve"> </w:t>
      </w:r>
      <w:r w:rsidR="00167081" w:rsidRPr="00390B67">
        <w:t xml:space="preserve">the </w:t>
      </w:r>
      <w:r w:rsidR="00DD6600" w:rsidRPr="00390B67">
        <w:t xml:space="preserve">tunnels </w:t>
      </w:r>
      <w:r w:rsidR="00167081" w:rsidRPr="00390B67">
        <w:t xml:space="preserve">that </w:t>
      </w:r>
      <w:r w:rsidR="00DD6600" w:rsidRPr="00390B67">
        <w:t>connec</w:t>
      </w:r>
      <w:r w:rsidR="00167081" w:rsidRPr="00390B67">
        <w:t>t the</w:t>
      </w:r>
      <w:r w:rsidR="00DD6600" w:rsidRPr="00390B67">
        <w:t xml:space="preserve"> </w:t>
      </w:r>
      <w:r w:rsidR="00D66AD4" w:rsidRPr="00390B67">
        <w:t>concourse</w:t>
      </w:r>
      <w:r w:rsidR="00D65FEF" w:rsidRPr="00390B67">
        <w:t>s</w:t>
      </w:r>
      <w:r w:rsidR="00216B2F" w:rsidRPr="00390B67">
        <w:t>,</w:t>
      </w:r>
      <w:r w:rsidR="00DA041C" w:rsidRPr="00390B67">
        <w:t xml:space="preserve"> b</w:t>
      </w:r>
      <w:r w:rsidR="00D66AD4" w:rsidRPr="00390B67">
        <w:t xml:space="preserve">ut </w:t>
      </w:r>
      <w:r w:rsidR="00DD6600" w:rsidRPr="00390B67">
        <w:t>other</w:t>
      </w:r>
      <w:r w:rsidR="003B5816" w:rsidRPr="00390B67">
        <w:t xml:space="preserve"> </w:t>
      </w:r>
      <w:r w:rsidR="00D66AD4" w:rsidRPr="00390B67">
        <w:t>components</w:t>
      </w:r>
      <w:r w:rsidR="000C65E8">
        <w:t xml:space="preserve"> </w:t>
      </w:r>
      <w:r w:rsidR="005B67AA">
        <w:t>(</w:t>
      </w:r>
      <w:r w:rsidR="000C65E8">
        <w:t xml:space="preserve">e.g., </w:t>
      </w:r>
      <w:r w:rsidR="00D66AD4" w:rsidRPr="00390B67">
        <w:t>car park</w:t>
      </w:r>
      <w:r w:rsidR="000C65E8">
        <w:t>,</w:t>
      </w:r>
      <w:r w:rsidR="007E0A39" w:rsidRPr="00390B67">
        <w:t xml:space="preserve"> </w:t>
      </w:r>
      <w:r w:rsidR="00E82B72" w:rsidRPr="00390B67">
        <w:t>hotel</w:t>
      </w:r>
      <w:r w:rsidR="000C65E8">
        <w:t>,</w:t>
      </w:r>
      <w:r w:rsidR="00E82B72" w:rsidRPr="00390B67">
        <w:t xml:space="preserve"> </w:t>
      </w:r>
      <w:r w:rsidR="005B67AA">
        <w:t xml:space="preserve">etc.) </w:t>
      </w:r>
      <w:r w:rsidR="00D66AD4" w:rsidRPr="00390B67">
        <w:t xml:space="preserve">are </w:t>
      </w:r>
      <w:r w:rsidR="00DA4691" w:rsidRPr="00390B67">
        <w:t>not</w:t>
      </w:r>
      <w:r w:rsidR="00D66AD4" w:rsidRPr="00390B67">
        <w:t>.</w:t>
      </w:r>
      <w:r w:rsidR="00AD309D" w:rsidRPr="00390B67">
        <w:t xml:space="preserve"> </w:t>
      </w:r>
      <w:r w:rsidR="00753621" w:rsidRPr="00390B67">
        <w:t>We</w:t>
      </w:r>
      <w:r w:rsidR="00BF4801" w:rsidRPr="00390B67">
        <w:t xml:space="preserve"> know </w:t>
      </w:r>
      <w:r w:rsidR="00C92FE2">
        <w:t xml:space="preserve">managers </w:t>
      </w:r>
      <w:r w:rsidR="006F3604">
        <w:t>intuitively</w:t>
      </w:r>
      <w:r w:rsidR="00C92FE2">
        <w:t xml:space="preserve"> </w:t>
      </w:r>
      <w:r w:rsidR="006F3604">
        <w:t xml:space="preserve">seek to </w:t>
      </w:r>
      <w:r w:rsidR="00C92FE2">
        <w:t>reduce management complexity by</w:t>
      </w:r>
      <w:r w:rsidR="000C65E8">
        <w:t xml:space="preserve"> </w:t>
      </w:r>
      <w:r w:rsidR="00D77D66">
        <w:t>align</w:t>
      </w:r>
      <w:r w:rsidR="006F3604">
        <w:t>ing</w:t>
      </w:r>
      <w:r w:rsidR="000C65E8">
        <w:t xml:space="preserve"> </w:t>
      </w:r>
      <w:r w:rsidR="00C92FE2">
        <w:t>organization</w:t>
      </w:r>
      <w:r w:rsidR="003D4126">
        <w:t>al</w:t>
      </w:r>
      <w:r w:rsidR="00C92FE2">
        <w:t xml:space="preserve"> </w:t>
      </w:r>
      <w:r w:rsidR="003D4126">
        <w:t>architecture with the</w:t>
      </w:r>
      <w:r w:rsidR="00D77D66">
        <w:t xml:space="preserve"> </w:t>
      </w:r>
      <w:r w:rsidR="003D4126">
        <w:t>architecture</w:t>
      </w:r>
      <w:r w:rsidR="00CF3C46">
        <w:t xml:space="preserve"> of the</w:t>
      </w:r>
      <w:r w:rsidR="003D4126">
        <w:t xml:space="preserve"> </w:t>
      </w:r>
      <w:r w:rsidR="00CF3C46">
        <w:t xml:space="preserve">products that the organization produces </w:t>
      </w:r>
      <w:r w:rsidR="009D57E0" w:rsidRPr="00390B67">
        <w:t>(</w:t>
      </w:r>
      <w:r w:rsidR="00732398">
        <w:t>Sosa</w:t>
      </w:r>
      <w:r w:rsidR="00CF3C46">
        <w:t xml:space="preserve"> et al. </w:t>
      </w:r>
      <w:r w:rsidR="00732398">
        <w:t xml:space="preserve">2004, </w:t>
      </w:r>
      <w:proofErr w:type="spellStart"/>
      <w:r w:rsidR="000C65E8">
        <w:t>Colfer</w:t>
      </w:r>
      <w:proofErr w:type="spellEnd"/>
      <w:r w:rsidR="000C65E8">
        <w:t xml:space="preserve"> and Baldwin 2016</w:t>
      </w:r>
      <w:r w:rsidR="00B73CC2" w:rsidRPr="00390B67">
        <w:t>). But we were unclear</w:t>
      </w:r>
      <w:r w:rsidR="00BF4801" w:rsidRPr="00390B67">
        <w:t xml:space="preserve"> </w:t>
      </w:r>
      <w:r w:rsidR="00C92FE2">
        <w:t>if this logic could extend to</w:t>
      </w:r>
      <w:r w:rsidR="003D4126">
        <w:t xml:space="preserve"> </w:t>
      </w:r>
      <w:r w:rsidR="00732398">
        <w:t xml:space="preserve">the </w:t>
      </w:r>
      <w:r w:rsidR="006F3604">
        <w:t>planning stage</w:t>
      </w:r>
      <w:r w:rsidR="00CF3C46">
        <w:t xml:space="preserve"> of </w:t>
      </w:r>
      <w:r w:rsidR="00732398">
        <w:t>capital-intensive project</w:t>
      </w:r>
      <w:r w:rsidR="006F3604">
        <w:t>s.</w:t>
      </w:r>
      <w:r w:rsidR="003D4126">
        <w:t xml:space="preserve"> </w:t>
      </w:r>
    </w:p>
    <w:p w14:paraId="53F7F473" w14:textId="27176F8A" w:rsidR="00BF4801" w:rsidRPr="00390B67" w:rsidRDefault="00BF4801" w:rsidP="00B05AF5">
      <w:pPr>
        <w:pStyle w:val="Caption"/>
        <w:rPr>
          <w:rStyle w:val="Strong"/>
          <w:b/>
          <w:bCs w:val="0"/>
          <w:i w:val="0"/>
          <w:szCs w:val="24"/>
        </w:rPr>
      </w:pPr>
      <w:r w:rsidRPr="00390B67">
        <w:t>--</w:t>
      </w:r>
      <w:r w:rsidRPr="00390B67">
        <w:rPr>
          <w:rStyle w:val="Strong"/>
        </w:rPr>
        <w:t>Insert Figure 1 about here --</w:t>
      </w:r>
    </w:p>
    <w:p w14:paraId="29D6A863" w14:textId="014BF2BE" w:rsidR="00C92FE2" w:rsidRPr="00390B67" w:rsidRDefault="003D4126" w:rsidP="00D77D66">
      <w:pPr>
        <w:rPr>
          <w:rStyle w:val="Strong"/>
        </w:rPr>
      </w:pPr>
      <w:r>
        <w:t>Our</w:t>
      </w:r>
      <w:r w:rsidR="00C92FE2" w:rsidRPr="00390B67">
        <w:t xml:space="preserve"> sample also varies in the</w:t>
      </w:r>
      <w:r w:rsidR="00C621DB">
        <w:t xml:space="preserve"> </w:t>
      </w:r>
      <w:r w:rsidR="00CF3C46">
        <w:t xml:space="preserve">project </w:t>
      </w:r>
      <w:r w:rsidR="00CF773A">
        <w:t>context</w:t>
      </w:r>
      <w:r w:rsidR="00C92FE2">
        <w:t xml:space="preserve">. The T2 project was </w:t>
      </w:r>
      <w:r w:rsidR="00C621DB">
        <w:t xml:space="preserve">promoted by </w:t>
      </w:r>
      <w:r w:rsidR="00FA5E3E" w:rsidRPr="00390B67">
        <w:t>BAA</w:t>
      </w:r>
      <w:r w:rsidR="00FA5E3E" w:rsidRPr="00390B67">
        <w:rPr>
          <w:rStyle w:val="FootnoteReference"/>
        </w:rPr>
        <w:footnoteReference w:id="1"/>
      </w:r>
      <w:r w:rsidR="00FA5E3E">
        <w:t xml:space="preserve">, </w:t>
      </w:r>
      <w:r w:rsidR="00D77D66">
        <w:t xml:space="preserve">the </w:t>
      </w:r>
      <w:r w:rsidR="00CF3C46">
        <w:t xml:space="preserve">regulated </w:t>
      </w:r>
      <w:r w:rsidR="00D77D66">
        <w:t xml:space="preserve">private owner of </w:t>
      </w:r>
      <w:r>
        <w:t xml:space="preserve">Heathrow </w:t>
      </w:r>
      <w:r w:rsidR="005B67AA">
        <w:t>A</w:t>
      </w:r>
      <w:r w:rsidR="00D77D66">
        <w:t>irport</w:t>
      </w:r>
      <w:r w:rsidR="00C621DB">
        <w:t xml:space="preserve">. In contrast, the other schemes were financed by central government </w:t>
      </w:r>
      <w:r w:rsidR="00E47398">
        <w:t xml:space="preserve">acting </w:t>
      </w:r>
      <w:r w:rsidR="00C621DB">
        <w:t xml:space="preserve">alone (Olympic </w:t>
      </w:r>
      <w:r w:rsidR="005B67AA">
        <w:t>P</w:t>
      </w:r>
      <w:r w:rsidR="00C621DB">
        <w:t>ark, H</w:t>
      </w:r>
      <w:r w:rsidR="005B67AA">
        <w:t>S</w:t>
      </w:r>
      <w:r w:rsidR="00C621DB">
        <w:t xml:space="preserve">2) or in a coalition </w:t>
      </w:r>
      <w:r w:rsidR="00CD08AA">
        <w:t>with a</w:t>
      </w:r>
      <w:r w:rsidR="00E47398">
        <w:t xml:space="preserve"> </w:t>
      </w:r>
      <w:r w:rsidR="00CD08AA">
        <w:t xml:space="preserve">public agency </w:t>
      </w:r>
      <w:r w:rsidR="00C621DB">
        <w:t xml:space="preserve">(Crossrail). </w:t>
      </w:r>
      <w:r w:rsidR="00CF773A">
        <w:t>A</w:t>
      </w:r>
      <w:r w:rsidR="003406B7">
        <w:t xml:space="preserve"> project promoted by a</w:t>
      </w:r>
      <w:r w:rsidR="00CF3C46">
        <w:t xml:space="preserve"> </w:t>
      </w:r>
      <w:r w:rsidR="00C621DB">
        <w:t>fi</w:t>
      </w:r>
      <w:r w:rsidR="00CF773A">
        <w:t>rm</w:t>
      </w:r>
      <w:r w:rsidR="00D77D66">
        <w:t xml:space="preserve"> </w:t>
      </w:r>
      <w:r w:rsidR="006F3604">
        <w:t>which already owns the necessary land</w:t>
      </w:r>
      <w:r w:rsidR="003406B7">
        <w:t xml:space="preserve"> </w:t>
      </w:r>
      <w:r w:rsidR="00FA5E3E">
        <w:t>i</w:t>
      </w:r>
      <w:r w:rsidR="00B6641B">
        <w:t xml:space="preserve">s </w:t>
      </w:r>
      <w:r w:rsidR="003406B7">
        <w:t>less interdependent with the environment than one financed by the tax-payers</w:t>
      </w:r>
      <w:r w:rsidR="00B6641B">
        <w:t xml:space="preserve"> that </w:t>
      </w:r>
      <w:r w:rsidR="006F3604">
        <w:t>requires</w:t>
      </w:r>
      <w:r w:rsidR="00B6641B">
        <w:t xml:space="preserve"> </w:t>
      </w:r>
      <w:r w:rsidR="0041521D">
        <w:t xml:space="preserve">compulsory </w:t>
      </w:r>
      <w:r w:rsidR="00B6641B">
        <w:t>land acquisition</w:t>
      </w:r>
      <w:r w:rsidR="0041521D">
        <w:t>s</w:t>
      </w:r>
      <w:r w:rsidR="00CD08AA">
        <w:t>. We thus expected to find less tension between the need to share decision rights and announce</w:t>
      </w:r>
      <w:r>
        <w:t xml:space="preserve"> performance</w:t>
      </w:r>
      <w:r w:rsidR="00CD08AA">
        <w:t xml:space="preserve"> targets in the T2 case than in the public cases. And yet, we were </w:t>
      </w:r>
      <w:r w:rsidR="00B6641B">
        <w:t xml:space="preserve">not sure </w:t>
      </w:r>
      <w:r w:rsidR="00CD08AA">
        <w:t xml:space="preserve">if this logic would hold since any regulated firm is a pluralistic </w:t>
      </w:r>
      <w:r w:rsidR="00E47398">
        <w:t>setting</w:t>
      </w:r>
      <w:r w:rsidR="00CD08AA">
        <w:t>. Furthermore</w:t>
      </w:r>
      <w:r w:rsidR="005B67AA">
        <w:t>,</w:t>
      </w:r>
      <w:r w:rsidR="006F3604">
        <w:t xml:space="preserve"> large</w:t>
      </w:r>
      <w:r w:rsidR="00CD08AA">
        <w:t xml:space="preserve"> budget contingencies in the public projects </w:t>
      </w:r>
      <w:r w:rsidR="006F3604">
        <w:t>could make</w:t>
      </w:r>
      <w:r w:rsidR="00CD08AA">
        <w:t xml:space="preserve"> it</w:t>
      </w:r>
      <w:r w:rsidR="006F3604">
        <w:t xml:space="preserve"> less difficult to</w:t>
      </w:r>
      <w:r w:rsidR="00CD08AA">
        <w:t xml:space="preserve"> resolve disputes. </w:t>
      </w:r>
      <w:r w:rsidR="00CF773A">
        <w:t xml:space="preserve">Within the </w:t>
      </w:r>
      <w:r>
        <w:t xml:space="preserve">sample </w:t>
      </w:r>
      <w:r w:rsidR="003406B7">
        <w:t>of</w:t>
      </w:r>
      <w:r w:rsidR="00CF773A">
        <w:t xml:space="preserve"> public projects, </w:t>
      </w:r>
      <w:r w:rsidR="003406B7">
        <w:t xml:space="preserve">the </w:t>
      </w:r>
      <w:r>
        <w:t xml:space="preserve">context </w:t>
      </w:r>
      <w:r w:rsidR="003406B7">
        <w:t xml:space="preserve">also varies </w:t>
      </w:r>
      <w:r w:rsidR="00CF773A">
        <w:t>the</w:t>
      </w:r>
      <w:r w:rsidR="0077661F">
        <w:t xml:space="preserve"> degree of</w:t>
      </w:r>
      <w:r w:rsidR="00CF773A">
        <w:t xml:space="preserve"> </w:t>
      </w:r>
      <w:r w:rsidR="0077661F">
        <w:t>regulation over</w:t>
      </w:r>
      <w:r w:rsidR="003406B7">
        <w:t xml:space="preserve"> the</w:t>
      </w:r>
      <w:r w:rsidR="00CF773A">
        <w:t xml:space="preserve"> planning</w:t>
      </w:r>
      <w:r w:rsidR="003406B7">
        <w:t xml:space="preserve"> decisions</w:t>
      </w:r>
      <w:r w:rsidR="00CF773A">
        <w:t xml:space="preserve">. </w:t>
      </w:r>
      <w:r w:rsidR="003406B7">
        <w:t>In the Crossrail and HS2 cases, planning</w:t>
      </w:r>
      <w:r w:rsidR="00FA5E3E">
        <w:t xml:space="preserve"> decisions had to be approved by </w:t>
      </w:r>
      <w:r w:rsidR="003406B7">
        <w:t xml:space="preserve">the UK Parliament. </w:t>
      </w:r>
      <w:r w:rsidR="00CB6EA5">
        <w:t>In contrast, the promoter</w:t>
      </w:r>
      <w:r w:rsidR="00FA5E3E">
        <w:t xml:space="preserve"> </w:t>
      </w:r>
      <w:r w:rsidR="00CB6EA5">
        <w:t xml:space="preserve">had </w:t>
      </w:r>
      <w:r w:rsidR="00FA5E3E">
        <w:t>autonomy to make</w:t>
      </w:r>
      <w:r w:rsidR="003406B7">
        <w:t xml:space="preserve"> </w:t>
      </w:r>
      <w:r w:rsidR="00FA5E3E">
        <w:t>planning decisions for the Olympic park</w:t>
      </w:r>
      <w:r w:rsidR="003406B7">
        <w:t>.</w:t>
      </w:r>
      <w:r w:rsidR="00D77D66">
        <w:t xml:space="preserve"> Still, </w:t>
      </w:r>
      <w:r w:rsidR="00321E23">
        <w:t>all public</w:t>
      </w:r>
      <w:r w:rsidR="00D77D66">
        <w:t xml:space="preserve"> projects were led by politicians, and thus we were unclear </w:t>
      </w:r>
      <w:r w:rsidR="004E0412">
        <w:t xml:space="preserve">about the actual impact of </w:t>
      </w:r>
      <w:r w:rsidR="00CB6EA5">
        <w:t>regulatory variance</w:t>
      </w:r>
      <w:r w:rsidR="00321E23">
        <w:t xml:space="preserve">. </w:t>
      </w:r>
    </w:p>
    <w:p w14:paraId="781E19E5" w14:textId="3907F897" w:rsidR="00B60A68" w:rsidRPr="005749D0" w:rsidRDefault="00B60A68" w:rsidP="003A204E">
      <w:pPr>
        <w:pStyle w:val="Heading2"/>
        <w:numPr>
          <w:ilvl w:val="1"/>
          <w:numId w:val="9"/>
        </w:numPr>
        <w:spacing w:line="480" w:lineRule="auto"/>
        <w:rPr>
          <w:rStyle w:val="Strong"/>
          <w:b w:val="0"/>
          <w:bCs w:val="0"/>
          <w:i/>
          <w:szCs w:val="24"/>
        </w:rPr>
      </w:pPr>
      <w:r w:rsidRPr="005749D0">
        <w:rPr>
          <w:rStyle w:val="Strong"/>
          <w:b w:val="0"/>
          <w:i/>
        </w:rPr>
        <w:lastRenderedPageBreak/>
        <w:t>Units of Analysis</w:t>
      </w:r>
    </w:p>
    <w:p w14:paraId="14770B4E" w14:textId="7883B7E0" w:rsidR="007A55A7" w:rsidRPr="00390B67" w:rsidRDefault="00E47398" w:rsidP="00E47398">
      <w:pPr>
        <w:rPr>
          <w:rStyle w:val="Strong"/>
        </w:rPr>
      </w:pPr>
      <w:r w:rsidRPr="00390B67">
        <w:t>Multiple-case studies that embed a unit of analysis</w:t>
      </w:r>
      <w:r>
        <w:t xml:space="preserve"> </w:t>
      </w:r>
      <w:r w:rsidRPr="00390B67">
        <w:t>are useful to investigate a holistic question without overlooking operational details (Yin 1984).</w:t>
      </w:r>
      <w:r>
        <w:t xml:space="preserve"> Accordingly, our </w:t>
      </w:r>
      <w:r w:rsidR="005D6968" w:rsidRPr="00DC4484">
        <w:t>units of analysis</w:t>
      </w:r>
      <w:r w:rsidR="00321E23">
        <w:t xml:space="preserve"> </w:t>
      </w:r>
      <w:r w:rsidR="00CD08AA">
        <w:t>were</w:t>
      </w:r>
      <w:r w:rsidR="00CD08AA" w:rsidRPr="00DC4484">
        <w:t xml:space="preserve"> </w:t>
      </w:r>
      <w:r w:rsidR="00321E23">
        <w:t>planning</w:t>
      </w:r>
      <w:r w:rsidR="005D6968" w:rsidRPr="00DC4484">
        <w:t xml:space="preserve"> disputes. Disputes are situations in which </w:t>
      </w:r>
      <w:r w:rsidR="00730649" w:rsidRPr="00DC4484">
        <w:t>actors</w:t>
      </w:r>
      <w:r w:rsidR="005D6968" w:rsidRPr="00DC4484">
        <w:t xml:space="preserve"> disagree and thus illuminate the conflict process</w:t>
      </w:r>
      <w:r w:rsidR="00066DD1" w:rsidRPr="00DC4484">
        <w:t xml:space="preserve"> and how people resolve conflict (Coleman and Ferguson 2014).</w:t>
      </w:r>
      <w:r w:rsidR="00C705A1" w:rsidRPr="00DC4484">
        <w:t xml:space="preserve"> </w:t>
      </w:r>
      <w:r w:rsidR="00CB6EA5">
        <w:t xml:space="preserve">In this study, the analysis of disputes was important to explore, first, how </w:t>
      </w:r>
      <w:r w:rsidR="00CF3C46">
        <w:t>decision rights were shared</w:t>
      </w:r>
      <w:r w:rsidR="00CB6EA5">
        <w:t xml:space="preserve">; and second, </w:t>
      </w:r>
      <w:r w:rsidR="00CD08AA">
        <w:t xml:space="preserve">how </w:t>
      </w:r>
      <w:r w:rsidR="00EF0068">
        <w:t>differ</w:t>
      </w:r>
      <w:r w:rsidR="00EF526B">
        <w:t xml:space="preserve">ing </w:t>
      </w:r>
      <w:r w:rsidR="00B6641B">
        <w:t>product architectures and</w:t>
      </w:r>
      <w:r w:rsidR="00EF0068">
        <w:t xml:space="preserve"> </w:t>
      </w:r>
      <w:r w:rsidR="00CD08AA">
        <w:t>context</w:t>
      </w:r>
      <w:r w:rsidR="00EF526B">
        <w:t>s</w:t>
      </w:r>
      <w:r w:rsidR="00CB6EA5">
        <w:t xml:space="preserve"> could </w:t>
      </w:r>
      <w:r w:rsidR="00CD08AA">
        <w:t>impact</w:t>
      </w:r>
      <w:r w:rsidR="00EF526B">
        <w:t xml:space="preserve"> on</w:t>
      </w:r>
      <w:r w:rsidR="00EF0068">
        <w:t xml:space="preserve"> </w:t>
      </w:r>
      <w:r w:rsidR="0029628C">
        <w:t xml:space="preserve">the </w:t>
      </w:r>
      <w:r>
        <w:t xml:space="preserve">design </w:t>
      </w:r>
      <w:r w:rsidR="00CB6EA5">
        <w:t>of the project organization</w:t>
      </w:r>
      <w:r w:rsidR="00CF3C46">
        <w:t xml:space="preserve"> </w:t>
      </w:r>
      <w:r w:rsidR="00EF0068">
        <w:t>and</w:t>
      </w:r>
      <w:r w:rsidR="00EF526B">
        <w:t xml:space="preserve"> </w:t>
      </w:r>
      <w:r w:rsidR="00CB6EA5">
        <w:t>performance</w:t>
      </w:r>
      <w:r w:rsidR="00EF0068">
        <w:t>.</w:t>
      </w:r>
      <w:r w:rsidR="00CD08AA">
        <w:t xml:space="preserve"> </w:t>
      </w:r>
      <w:r w:rsidR="00B6641B">
        <w:t>However, i</w:t>
      </w:r>
      <w:r w:rsidR="001A3E5A">
        <w:t xml:space="preserve">t was not </w:t>
      </w:r>
      <w:r>
        <w:t xml:space="preserve">our </w:t>
      </w:r>
      <w:r w:rsidR="001A3E5A">
        <w:t>focus to</w:t>
      </w:r>
      <w:r w:rsidR="00EF526B">
        <w:t xml:space="preserve"> probe into the</w:t>
      </w:r>
      <w:r w:rsidR="00211771">
        <w:t xml:space="preserve"> </w:t>
      </w:r>
      <w:r w:rsidR="00EF526B">
        <w:t>negotiation processes</w:t>
      </w:r>
      <w:r w:rsidR="005B67AA">
        <w:t xml:space="preserve"> themselves</w:t>
      </w:r>
      <w:r w:rsidR="001A3E5A">
        <w:t xml:space="preserve">. We </w:t>
      </w:r>
      <w:r w:rsidR="00D54A1D">
        <w:t>agree</w:t>
      </w:r>
      <w:r w:rsidR="001A3E5A">
        <w:t xml:space="preserve"> t</w:t>
      </w:r>
      <w:r w:rsidR="00EF526B">
        <w:t xml:space="preserve">hat </w:t>
      </w:r>
      <w:r w:rsidR="00D11C7E">
        <w:t xml:space="preserve">researching </w:t>
      </w:r>
      <w:r w:rsidR="00EF526B">
        <w:t xml:space="preserve">connections between </w:t>
      </w:r>
      <w:r w:rsidR="0029628C">
        <w:t xml:space="preserve">organizational </w:t>
      </w:r>
      <w:r>
        <w:t>design</w:t>
      </w:r>
      <w:r w:rsidR="00211771">
        <w:t xml:space="preserve"> </w:t>
      </w:r>
      <w:r w:rsidR="0029628C">
        <w:t>and</w:t>
      </w:r>
      <w:r w:rsidR="004809CA">
        <w:t xml:space="preserve"> </w:t>
      </w:r>
      <w:r w:rsidR="00211771">
        <w:t>informal social</w:t>
      </w:r>
      <w:r w:rsidR="0029628C">
        <w:t xml:space="preserve"> </w:t>
      </w:r>
      <w:r w:rsidR="00211771">
        <w:t>networks</w:t>
      </w:r>
      <w:r w:rsidR="0029628C">
        <w:t xml:space="preserve"> </w:t>
      </w:r>
      <w:r w:rsidR="00EF526B">
        <w:t>is critical to further our understanding of</w:t>
      </w:r>
      <w:r w:rsidR="0029628C">
        <w:t xml:space="preserve"> </w:t>
      </w:r>
      <w:r w:rsidR="00EF526B">
        <w:t>organization</w:t>
      </w:r>
      <w:r w:rsidR="0029628C">
        <w:t>al performance</w:t>
      </w:r>
      <w:r w:rsidR="00EF526B">
        <w:t xml:space="preserve"> (</w:t>
      </w:r>
      <w:r w:rsidR="00EF526B" w:rsidRPr="00EF526B">
        <w:t xml:space="preserve">Van de </w:t>
      </w:r>
      <w:proofErr w:type="spellStart"/>
      <w:r w:rsidR="00EF526B" w:rsidRPr="00EF526B">
        <w:t>Ven</w:t>
      </w:r>
      <w:proofErr w:type="spellEnd"/>
      <w:r w:rsidR="00EF526B" w:rsidRPr="00EF526B">
        <w:t xml:space="preserve"> </w:t>
      </w:r>
      <w:proofErr w:type="gramStart"/>
      <w:r w:rsidR="00D11C7E">
        <w:t>et</w:t>
      </w:r>
      <w:proofErr w:type="gramEnd"/>
      <w:r w:rsidR="00D11C7E">
        <w:t xml:space="preserve"> al.</w:t>
      </w:r>
      <w:r w:rsidR="00EF526B" w:rsidRPr="00EF526B">
        <w:t>2013</w:t>
      </w:r>
      <w:r w:rsidR="00EF526B">
        <w:t xml:space="preserve">). </w:t>
      </w:r>
      <w:r w:rsidR="00D11B24">
        <w:t xml:space="preserve">We also agree </w:t>
      </w:r>
      <w:r w:rsidR="0041521D">
        <w:t xml:space="preserve">that </w:t>
      </w:r>
      <w:r w:rsidR="00D11B24">
        <w:t>dispute</w:t>
      </w:r>
      <w:r w:rsidR="0029628C">
        <w:t xml:space="preserve"> </w:t>
      </w:r>
      <w:r w:rsidR="00D11B24">
        <w:t>resolution</w:t>
      </w:r>
      <w:r w:rsidR="0041521D">
        <w:t xml:space="preserve"> </w:t>
      </w:r>
      <w:r w:rsidR="004809CA">
        <w:t>hinge</w:t>
      </w:r>
      <w:r w:rsidR="0077661F">
        <w:t>s</w:t>
      </w:r>
      <w:r w:rsidR="004809CA">
        <w:t xml:space="preserve"> on</w:t>
      </w:r>
      <w:r w:rsidR="0029628C">
        <w:t xml:space="preserve"> </w:t>
      </w:r>
      <w:r w:rsidR="004809CA">
        <w:t>the</w:t>
      </w:r>
      <w:r w:rsidR="00EF526B">
        <w:t xml:space="preserve"> </w:t>
      </w:r>
      <w:r w:rsidR="0029628C">
        <w:t>interplay</w:t>
      </w:r>
      <w:r w:rsidR="00EF526B">
        <w:t xml:space="preserve"> between </w:t>
      </w:r>
      <w:r w:rsidR="0029628C">
        <w:t xml:space="preserve">formal </w:t>
      </w:r>
      <w:r w:rsidR="00EF526B">
        <w:t>and informal mechanisms</w:t>
      </w:r>
      <w:r w:rsidR="0029628C">
        <w:t xml:space="preserve">. </w:t>
      </w:r>
      <w:r w:rsidR="001A3E5A">
        <w:t xml:space="preserve">But </w:t>
      </w:r>
      <w:r w:rsidR="004809CA">
        <w:t>we</w:t>
      </w:r>
      <w:r w:rsidR="00B6641B">
        <w:t xml:space="preserve"> argue that we</w:t>
      </w:r>
      <w:r w:rsidR="004809CA">
        <w:t xml:space="preserve"> cannot</w:t>
      </w:r>
      <w:r w:rsidR="001A3E5A">
        <w:t xml:space="preserve"> </w:t>
      </w:r>
      <w:r>
        <w:t xml:space="preserve">further </w:t>
      </w:r>
      <w:r w:rsidR="00211771">
        <w:t xml:space="preserve">our understanding of </w:t>
      </w:r>
      <w:r w:rsidR="00D11B24">
        <w:t xml:space="preserve">this </w:t>
      </w:r>
      <w:r w:rsidR="001A3E5A">
        <w:t>interplay</w:t>
      </w:r>
      <w:r w:rsidR="00D11C7E">
        <w:t xml:space="preserve"> in capital-intensive project</w:t>
      </w:r>
      <w:r w:rsidR="0077661F">
        <w:t>s</w:t>
      </w:r>
      <w:r w:rsidR="00D11C7E">
        <w:t xml:space="preserve"> </w:t>
      </w:r>
      <w:r w:rsidR="0029628C">
        <w:t xml:space="preserve">unless we </w:t>
      </w:r>
      <w:r w:rsidR="00D11B24">
        <w:t xml:space="preserve">first </w:t>
      </w:r>
      <w:r w:rsidR="001A3E5A">
        <w:t>understand</w:t>
      </w:r>
      <w:r w:rsidR="00D11B24">
        <w:t xml:space="preserve"> better</w:t>
      </w:r>
      <w:r w:rsidR="001A3E5A">
        <w:t xml:space="preserve"> the</w:t>
      </w:r>
      <w:r w:rsidR="004E0412">
        <w:t xml:space="preserve"> design of these</w:t>
      </w:r>
      <w:r w:rsidR="001A3E5A">
        <w:t xml:space="preserve"> </w:t>
      </w:r>
      <w:r w:rsidR="0029628C">
        <w:t>organization</w:t>
      </w:r>
      <w:r w:rsidR="004E0412">
        <w:t>s</w:t>
      </w:r>
      <w:r w:rsidR="00D11B24">
        <w:t>,</w:t>
      </w:r>
      <w:r w:rsidR="001A3E5A">
        <w:t xml:space="preserve"> </w:t>
      </w:r>
      <w:r w:rsidR="004809CA">
        <w:t xml:space="preserve">and this is </w:t>
      </w:r>
      <w:r w:rsidR="001A3E5A">
        <w:t xml:space="preserve">the focus of </w:t>
      </w:r>
      <w:r w:rsidR="00D11B24">
        <w:t xml:space="preserve">our </w:t>
      </w:r>
      <w:r w:rsidR="00CF3C46">
        <w:t>study</w:t>
      </w:r>
      <w:r w:rsidR="00EF526B">
        <w:t>.</w:t>
      </w:r>
      <w:r w:rsidR="00321E23">
        <w:t xml:space="preserve">   </w:t>
      </w:r>
    </w:p>
    <w:p w14:paraId="2C69B07B" w14:textId="4F7DB740" w:rsidR="00691AA7" w:rsidRPr="005749D0" w:rsidRDefault="00434CBE" w:rsidP="005749D0">
      <w:pPr>
        <w:pStyle w:val="Heading2"/>
        <w:numPr>
          <w:ilvl w:val="1"/>
          <w:numId w:val="9"/>
        </w:numPr>
        <w:spacing w:line="480" w:lineRule="auto"/>
        <w:rPr>
          <w:rStyle w:val="Strong"/>
          <w:b w:val="0"/>
          <w:bCs w:val="0"/>
          <w:i/>
          <w:szCs w:val="24"/>
        </w:rPr>
      </w:pPr>
      <w:r>
        <w:rPr>
          <w:rStyle w:val="Strong"/>
        </w:rPr>
        <w:t xml:space="preserve"> </w:t>
      </w:r>
      <w:r w:rsidR="00691AA7" w:rsidRPr="005749D0">
        <w:rPr>
          <w:rStyle w:val="Strong"/>
          <w:b w:val="0"/>
          <w:i/>
        </w:rPr>
        <w:t>Data Collection</w:t>
      </w:r>
    </w:p>
    <w:p w14:paraId="169706D8" w14:textId="2B55996F" w:rsidR="00B324DE" w:rsidRDefault="00691AA7" w:rsidP="00B324DE">
      <w:pPr>
        <w:rPr>
          <w:rStyle w:val="Strong"/>
        </w:rPr>
      </w:pPr>
      <w:r w:rsidRPr="00390B67">
        <w:rPr>
          <w:rStyle w:val="Strong"/>
        </w:rPr>
        <w:t xml:space="preserve">Data </w:t>
      </w:r>
      <w:r w:rsidR="004676E4" w:rsidRPr="00390B67">
        <w:rPr>
          <w:rStyle w:val="Strong"/>
        </w:rPr>
        <w:t>collection was</w:t>
      </w:r>
      <w:r w:rsidR="00CC7D2B" w:rsidRPr="00390B67">
        <w:rPr>
          <w:rStyle w:val="Strong"/>
        </w:rPr>
        <w:t xml:space="preserve"> part of a broad </w:t>
      </w:r>
      <w:r w:rsidR="00B324DE">
        <w:rPr>
          <w:rStyle w:val="Strong"/>
        </w:rPr>
        <w:t xml:space="preserve">research </w:t>
      </w:r>
      <w:r w:rsidR="00CC7D2B" w:rsidRPr="00390B67">
        <w:rPr>
          <w:rStyle w:val="Strong"/>
        </w:rPr>
        <w:t>program</w:t>
      </w:r>
      <w:r w:rsidR="00E47398">
        <w:rPr>
          <w:rStyle w:val="Strong"/>
        </w:rPr>
        <w:t xml:space="preserve"> looking at </w:t>
      </w:r>
      <w:r w:rsidR="00B324DE">
        <w:rPr>
          <w:rStyle w:val="Strong"/>
        </w:rPr>
        <w:t>capital-intensive</w:t>
      </w:r>
      <w:r w:rsidR="00B324DE" w:rsidRPr="00390B67">
        <w:rPr>
          <w:rStyle w:val="Strong"/>
        </w:rPr>
        <w:t xml:space="preserve"> </w:t>
      </w:r>
      <w:r w:rsidR="004676E4" w:rsidRPr="00390B67">
        <w:rPr>
          <w:rStyle w:val="Strong"/>
        </w:rPr>
        <w:t>project</w:t>
      </w:r>
      <w:r w:rsidR="00B324DE">
        <w:rPr>
          <w:rStyle w:val="Strong"/>
        </w:rPr>
        <w:t>s from an</w:t>
      </w:r>
      <w:r w:rsidR="004676E4" w:rsidRPr="00390B67">
        <w:rPr>
          <w:rStyle w:val="Strong"/>
        </w:rPr>
        <w:t xml:space="preserve"> </w:t>
      </w:r>
      <w:r w:rsidR="00B324DE">
        <w:rPr>
          <w:rStyle w:val="Strong"/>
        </w:rPr>
        <w:t>organization design perspective</w:t>
      </w:r>
      <w:r w:rsidR="000169FE" w:rsidRPr="00390B67">
        <w:rPr>
          <w:rStyle w:val="Strong"/>
        </w:rPr>
        <w:t>. In 2011, w</w:t>
      </w:r>
      <w:r w:rsidR="004676E4" w:rsidRPr="00390B67">
        <w:rPr>
          <w:rStyle w:val="Strong"/>
        </w:rPr>
        <w:t xml:space="preserve">e first </w:t>
      </w:r>
      <w:r w:rsidRPr="00390B67">
        <w:rPr>
          <w:rStyle w:val="Strong"/>
        </w:rPr>
        <w:t>g</w:t>
      </w:r>
      <w:r w:rsidR="000169FE" w:rsidRPr="00390B67">
        <w:rPr>
          <w:rStyle w:val="Strong"/>
        </w:rPr>
        <w:t xml:space="preserve">ained </w:t>
      </w:r>
      <w:r w:rsidRPr="00390B67">
        <w:rPr>
          <w:rStyle w:val="Strong"/>
        </w:rPr>
        <w:t xml:space="preserve">access to </w:t>
      </w:r>
      <w:r w:rsidR="00472EAF" w:rsidRPr="00390B67">
        <w:rPr>
          <w:rStyle w:val="Strong"/>
        </w:rPr>
        <w:t xml:space="preserve">the </w:t>
      </w:r>
      <w:r w:rsidRPr="00390B67">
        <w:rPr>
          <w:rStyle w:val="Strong"/>
        </w:rPr>
        <w:t>top manage</w:t>
      </w:r>
      <w:r w:rsidR="00CC7D2B" w:rsidRPr="00390B67">
        <w:rPr>
          <w:rStyle w:val="Strong"/>
        </w:rPr>
        <w:t xml:space="preserve">rs </w:t>
      </w:r>
      <w:r w:rsidRPr="00390B67">
        <w:rPr>
          <w:rStyle w:val="Strong"/>
        </w:rPr>
        <w:t xml:space="preserve">of the Olympic Delivery Authority (ODA), the </w:t>
      </w:r>
      <w:r w:rsidR="001E55DA" w:rsidRPr="00390B67">
        <w:rPr>
          <w:rStyle w:val="Strong"/>
        </w:rPr>
        <w:t xml:space="preserve">public </w:t>
      </w:r>
      <w:r w:rsidR="00DF07CA" w:rsidRPr="00390B67">
        <w:rPr>
          <w:rStyle w:val="Strong"/>
        </w:rPr>
        <w:t xml:space="preserve">agency </w:t>
      </w:r>
      <w:r w:rsidR="004925DB" w:rsidRPr="00390B67">
        <w:rPr>
          <w:rStyle w:val="Strong"/>
        </w:rPr>
        <w:t>established</w:t>
      </w:r>
      <w:r w:rsidR="008F37B6" w:rsidRPr="00390B67">
        <w:rPr>
          <w:rStyle w:val="Strong"/>
        </w:rPr>
        <w:t xml:space="preserve"> </w:t>
      </w:r>
      <w:r w:rsidR="00835D85" w:rsidRPr="00390B67">
        <w:rPr>
          <w:rStyle w:val="Strong"/>
        </w:rPr>
        <w:t xml:space="preserve">in 2005 </w:t>
      </w:r>
      <w:r w:rsidR="00E15A7D" w:rsidRPr="00390B67">
        <w:rPr>
          <w:rStyle w:val="Strong"/>
        </w:rPr>
        <w:t>to develop the Olympic park</w:t>
      </w:r>
      <w:r w:rsidRPr="00390B67">
        <w:rPr>
          <w:rStyle w:val="Strong"/>
        </w:rPr>
        <w:t>. Th</w:t>
      </w:r>
      <w:r w:rsidR="00414FC1" w:rsidRPr="00390B67">
        <w:rPr>
          <w:rStyle w:val="Strong"/>
        </w:rPr>
        <w:t>is</w:t>
      </w:r>
      <w:r w:rsidRPr="00390B67">
        <w:rPr>
          <w:rStyle w:val="Strong"/>
        </w:rPr>
        <w:t xml:space="preserve"> </w:t>
      </w:r>
      <w:r w:rsidR="00CF3C46" w:rsidRPr="00390B67">
        <w:rPr>
          <w:rStyle w:val="Strong"/>
        </w:rPr>
        <w:t>agen</w:t>
      </w:r>
      <w:r w:rsidR="00CF3C46">
        <w:rPr>
          <w:rStyle w:val="Strong"/>
        </w:rPr>
        <w:t>cy</w:t>
      </w:r>
      <w:r w:rsidR="00CF3C46" w:rsidRPr="00390B67">
        <w:rPr>
          <w:rStyle w:val="Strong"/>
        </w:rPr>
        <w:t xml:space="preserve"> </w:t>
      </w:r>
      <w:r w:rsidR="00F62F67" w:rsidRPr="00390B67">
        <w:rPr>
          <w:rStyle w:val="Strong"/>
        </w:rPr>
        <w:t>reported</w:t>
      </w:r>
      <w:r w:rsidRPr="00390B67">
        <w:rPr>
          <w:rStyle w:val="Strong"/>
        </w:rPr>
        <w:t xml:space="preserve"> to </w:t>
      </w:r>
      <w:r w:rsidR="00835D85" w:rsidRPr="00390B67">
        <w:rPr>
          <w:rStyle w:val="Strong"/>
        </w:rPr>
        <w:t>the</w:t>
      </w:r>
      <w:r w:rsidR="00940903" w:rsidRPr="00390B67">
        <w:rPr>
          <w:rStyle w:val="Strong"/>
        </w:rPr>
        <w:t xml:space="preserve"> </w:t>
      </w:r>
      <w:r w:rsidR="004C4481" w:rsidRPr="00390B67">
        <w:rPr>
          <w:rStyle w:val="Strong"/>
        </w:rPr>
        <w:t xml:space="preserve">four promoters, </w:t>
      </w:r>
      <w:r w:rsidR="00F62F67" w:rsidRPr="00390B67">
        <w:rPr>
          <w:rStyle w:val="Strong"/>
        </w:rPr>
        <w:t>but h</w:t>
      </w:r>
      <w:r w:rsidR="008018C2" w:rsidRPr="00390B67">
        <w:rPr>
          <w:rStyle w:val="Strong"/>
        </w:rPr>
        <w:t>ad no</w:t>
      </w:r>
      <w:r w:rsidR="00F62F67" w:rsidRPr="00390B67">
        <w:rPr>
          <w:rStyle w:val="Strong"/>
        </w:rPr>
        <w:t xml:space="preserve"> power of veto</w:t>
      </w:r>
      <w:r w:rsidR="00CF3C46">
        <w:rPr>
          <w:rStyle w:val="Strong"/>
        </w:rPr>
        <w:t xml:space="preserve"> over planning decisions</w:t>
      </w:r>
      <w:r w:rsidR="0024455B" w:rsidRPr="00390B67">
        <w:rPr>
          <w:rStyle w:val="Strong"/>
        </w:rPr>
        <w:t>.</w:t>
      </w:r>
      <w:r w:rsidR="0030385E">
        <w:rPr>
          <w:rStyle w:val="Strong"/>
        </w:rPr>
        <w:t xml:space="preserve"> </w:t>
      </w:r>
      <w:r w:rsidRPr="00390B67">
        <w:rPr>
          <w:rStyle w:val="Strong"/>
        </w:rPr>
        <w:t xml:space="preserve">Between </w:t>
      </w:r>
      <w:r w:rsidR="007D73AA" w:rsidRPr="00390B67">
        <w:rPr>
          <w:rStyle w:val="Strong"/>
        </w:rPr>
        <w:t>201</w:t>
      </w:r>
      <w:r w:rsidR="00B75C33" w:rsidRPr="00390B67">
        <w:rPr>
          <w:rStyle w:val="Strong"/>
        </w:rPr>
        <w:t>1</w:t>
      </w:r>
      <w:r w:rsidR="007D73AA" w:rsidRPr="00390B67">
        <w:rPr>
          <w:rStyle w:val="Strong"/>
        </w:rPr>
        <w:t xml:space="preserve"> </w:t>
      </w:r>
      <w:r w:rsidRPr="00390B67">
        <w:rPr>
          <w:rStyle w:val="Strong"/>
        </w:rPr>
        <w:t xml:space="preserve">and </w:t>
      </w:r>
      <w:r w:rsidR="00FC7620" w:rsidRPr="00390B67">
        <w:rPr>
          <w:rStyle w:val="Strong"/>
        </w:rPr>
        <w:t>2014</w:t>
      </w:r>
      <w:r w:rsidRPr="00390B67">
        <w:rPr>
          <w:rStyle w:val="Strong"/>
        </w:rPr>
        <w:t xml:space="preserve">, </w:t>
      </w:r>
      <w:r w:rsidR="00F53ECD" w:rsidRPr="00390B67">
        <w:rPr>
          <w:rStyle w:val="Strong"/>
        </w:rPr>
        <w:t>we</w:t>
      </w:r>
      <w:r w:rsidR="002804FE" w:rsidRPr="00390B67">
        <w:rPr>
          <w:rStyle w:val="Strong"/>
        </w:rPr>
        <w:t xml:space="preserve"> </w:t>
      </w:r>
      <w:r w:rsidR="00736F81" w:rsidRPr="00390B67">
        <w:rPr>
          <w:rStyle w:val="Strong"/>
        </w:rPr>
        <w:t xml:space="preserve">leveraged our </w:t>
      </w:r>
      <w:r w:rsidRPr="00390B67">
        <w:rPr>
          <w:rStyle w:val="Strong"/>
        </w:rPr>
        <w:t xml:space="preserve">access </w:t>
      </w:r>
      <w:r w:rsidR="00472EAF" w:rsidRPr="00390B67">
        <w:rPr>
          <w:rStyle w:val="Strong"/>
        </w:rPr>
        <w:t>to</w:t>
      </w:r>
      <w:r w:rsidR="002C45A0">
        <w:rPr>
          <w:rStyle w:val="Strong"/>
        </w:rPr>
        <w:t xml:space="preserve"> top managers within</w:t>
      </w:r>
      <w:r w:rsidR="00472EAF" w:rsidRPr="00390B67">
        <w:rPr>
          <w:rStyle w:val="Strong"/>
        </w:rPr>
        <w:t xml:space="preserve"> the ODA </w:t>
      </w:r>
      <w:r w:rsidRPr="00390B67">
        <w:rPr>
          <w:rStyle w:val="Strong"/>
        </w:rPr>
        <w:t xml:space="preserve">to, first, </w:t>
      </w:r>
      <w:r w:rsidR="002C45A0">
        <w:rPr>
          <w:rStyle w:val="Strong"/>
        </w:rPr>
        <w:t xml:space="preserve">independently </w:t>
      </w:r>
      <w:r w:rsidRPr="00390B67">
        <w:rPr>
          <w:rStyle w:val="Strong"/>
        </w:rPr>
        <w:t>acces</w:t>
      </w:r>
      <w:r w:rsidR="00FC7620" w:rsidRPr="00390B67">
        <w:rPr>
          <w:rStyle w:val="Strong"/>
        </w:rPr>
        <w:t>s</w:t>
      </w:r>
      <w:r w:rsidRPr="00390B67">
        <w:rPr>
          <w:rStyle w:val="Strong"/>
        </w:rPr>
        <w:t xml:space="preserve"> top managers of </w:t>
      </w:r>
      <w:r w:rsidR="00FC7620" w:rsidRPr="00390B67">
        <w:rPr>
          <w:rStyle w:val="Strong"/>
        </w:rPr>
        <w:t xml:space="preserve">other </w:t>
      </w:r>
      <w:r w:rsidR="007B2012" w:rsidRPr="00390B67">
        <w:rPr>
          <w:rStyle w:val="Strong"/>
        </w:rPr>
        <w:t>stakeholders</w:t>
      </w:r>
      <w:r w:rsidR="002C45A0">
        <w:rPr>
          <w:rStyle w:val="Strong"/>
        </w:rPr>
        <w:t xml:space="preserve"> directly involved in the planning</w:t>
      </w:r>
      <w:r w:rsidR="00C25FB3" w:rsidRPr="00390B67">
        <w:rPr>
          <w:rStyle w:val="Strong"/>
        </w:rPr>
        <w:t xml:space="preserve"> </w:t>
      </w:r>
      <w:r w:rsidR="005912EF" w:rsidRPr="00390B67">
        <w:rPr>
          <w:rStyle w:val="Strong"/>
        </w:rPr>
        <w:t xml:space="preserve">for </w:t>
      </w:r>
      <w:r w:rsidR="00FC7620" w:rsidRPr="00390B67">
        <w:rPr>
          <w:rStyle w:val="Strong"/>
        </w:rPr>
        <w:t>the</w:t>
      </w:r>
      <w:r w:rsidRPr="00390B67">
        <w:rPr>
          <w:rStyle w:val="Strong"/>
        </w:rPr>
        <w:t xml:space="preserve"> Olympic park</w:t>
      </w:r>
      <w:r w:rsidR="00715D17" w:rsidRPr="00390B67">
        <w:rPr>
          <w:rStyle w:val="Strong"/>
        </w:rPr>
        <w:t>; a</w:t>
      </w:r>
      <w:r w:rsidR="00BE4A63" w:rsidRPr="00390B67">
        <w:rPr>
          <w:rStyle w:val="Strong"/>
        </w:rPr>
        <w:t xml:space="preserve">nd second, </w:t>
      </w:r>
      <w:r w:rsidR="00835D85" w:rsidRPr="00390B67">
        <w:rPr>
          <w:rStyle w:val="Strong"/>
        </w:rPr>
        <w:t xml:space="preserve">acquire similar levels of </w:t>
      </w:r>
      <w:r w:rsidR="00FC7620" w:rsidRPr="00390B67">
        <w:rPr>
          <w:rStyle w:val="Strong"/>
        </w:rPr>
        <w:t>access to</w:t>
      </w:r>
      <w:r w:rsidR="002809DD" w:rsidRPr="00390B67">
        <w:rPr>
          <w:rStyle w:val="Strong"/>
        </w:rPr>
        <w:t xml:space="preserve"> </w:t>
      </w:r>
      <w:r w:rsidR="002C45A0">
        <w:rPr>
          <w:rStyle w:val="Strong"/>
        </w:rPr>
        <w:t xml:space="preserve">participants in </w:t>
      </w:r>
      <w:r w:rsidR="002809DD" w:rsidRPr="00390B67">
        <w:rPr>
          <w:rStyle w:val="Strong"/>
        </w:rPr>
        <w:t>the</w:t>
      </w:r>
      <w:r w:rsidR="00810A62" w:rsidRPr="00390B67">
        <w:rPr>
          <w:rStyle w:val="Strong"/>
        </w:rPr>
        <w:t xml:space="preserve"> other </w:t>
      </w:r>
      <w:r w:rsidR="00B6641B">
        <w:rPr>
          <w:rStyle w:val="Strong"/>
        </w:rPr>
        <w:t>three case</w:t>
      </w:r>
      <w:r w:rsidR="00B6641B" w:rsidRPr="00390B67">
        <w:rPr>
          <w:rStyle w:val="Strong"/>
        </w:rPr>
        <w:t>s</w:t>
      </w:r>
      <w:r w:rsidR="00715D17" w:rsidRPr="00390B67">
        <w:rPr>
          <w:rStyle w:val="Strong"/>
        </w:rPr>
        <w:t>.</w:t>
      </w:r>
      <w:r w:rsidR="00B324DE">
        <w:rPr>
          <w:rStyle w:val="Strong"/>
        </w:rPr>
        <w:t xml:space="preserve"> </w:t>
      </w:r>
    </w:p>
    <w:p w14:paraId="4445990E" w14:textId="5569E60D" w:rsidR="00691AA7" w:rsidRPr="00390B67" w:rsidRDefault="00B324DE" w:rsidP="00B324DE">
      <w:r>
        <w:rPr>
          <w:rStyle w:val="Strong"/>
        </w:rPr>
        <w:lastRenderedPageBreak/>
        <w:t>Data collection involved interviews and analysis of archival documents. We arranged the interviews by adopting</w:t>
      </w:r>
      <w:r w:rsidR="00E605FC" w:rsidRPr="00390B67">
        <w:rPr>
          <w:rStyle w:val="Strong"/>
        </w:rPr>
        <w:t xml:space="preserve"> a snowball </w:t>
      </w:r>
      <w:r>
        <w:rPr>
          <w:rStyle w:val="Strong"/>
        </w:rPr>
        <w:t>approach</w:t>
      </w:r>
      <w:r w:rsidRPr="00390B67">
        <w:rPr>
          <w:rStyle w:val="Strong"/>
        </w:rPr>
        <w:t xml:space="preserve"> </w:t>
      </w:r>
      <w:r w:rsidR="00E605FC" w:rsidRPr="00390B67">
        <w:rPr>
          <w:rStyle w:val="Strong"/>
        </w:rPr>
        <w:t>(</w:t>
      </w:r>
      <w:proofErr w:type="spellStart"/>
      <w:r w:rsidR="00E605FC" w:rsidRPr="00390B67">
        <w:rPr>
          <w:rStyle w:val="Strong"/>
        </w:rPr>
        <w:t>Biernacki</w:t>
      </w:r>
      <w:proofErr w:type="spellEnd"/>
      <w:r w:rsidR="00E605FC" w:rsidRPr="00390B67">
        <w:rPr>
          <w:rStyle w:val="Strong"/>
        </w:rPr>
        <w:t xml:space="preserve"> and Waldorf 1981)</w:t>
      </w:r>
      <w:r w:rsidR="00B6641B">
        <w:rPr>
          <w:rStyle w:val="Strong"/>
        </w:rPr>
        <w:t xml:space="preserve">. Hence, </w:t>
      </w:r>
      <w:r>
        <w:rPr>
          <w:rStyle w:val="Strong"/>
        </w:rPr>
        <w:t xml:space="preserve">for each case, </w:t>
      </w:r>
      <w:r w:rsidR="00B6641B">
        <w:rPr>
          <w:rStyle w:val="Strong"/>
        </w:rPr>
        <w:t>once we identified salient disputes with the help of the initial respondents, we asked for</w:t>
      </w:r>
      <w:r>
        <w:rPr>
          <w:rStyle w:val="Strong"/>
        </w:rPr>
        <w:t xml:space="preserve"> </w:t>
      </w:r>
      <w:r w:rsidR="00B6641B">
        <w:rPr>
          <w:rStyle w:val="Strong"/>
        </w:rPr>
        <w:t>names of</w:t>
      </w:r>
      <w:r w:rsidR="002C45A0">
        <w:rPr>
          <w:rStyle w:val="Strong"/>
        </w:rPr>
        <w:t xml:space="preserve"> other</w:t>
      </w:r>
      <w:r w:rsidR="00B6641B">
        <w:rPr>
          <w:rStyle w:val="Strong"/>
        </w:rPr>
        <w:t xml:space="preserve"> people who had intimate knowledge of the disputes</w:t>
      </w:r>
      <w:r>
        <w:rPr>
          <w:rStyle w:val="Strong"/>
        </w:rPr>
        <w:t xml:space="preserve">. </w:t>
      </w:r>
      <w:r w:rsidR="000C2D81" w:rsidRPr="00390B67">
        <w:rPr>
          <w:rStyle w:val="Strong"/>
        </w:rPr>
        <w:t>In total</w:t>
      </w:r>
      <w:r w:rsidR="00CC7D2B" w:rsidRPr="00390B67">
        <w:rPr>
          <w:rStyle w:val="Strong"/>
        </w:rPr>
        <w:t>,</w:t>
      </w:r>
      <w:r w:rsidR="000C2D81" w:rsidRPr="00390B67">
        <w:rPr>
          <w:rStyle w:val="Strong"/>
        </w:rPr>
        <w:t xml:space="preserve"> </w:t>
      </w:r>
      <w:r w:rsidR="00066DD1" w:rsidRPr="00390B67">
        <w:rPr>
          <w:rStyle w:val="Strong"/>
        </w:rPr>
        <w:t xml:space="preserve">we </w:t>
      </w:r>
      <w:r w:rsidR="004C4481" w:rsidRPr="00390B67">
        <w:rPr>
          <w:rStyle w:val="Strong"/>
        </w:rPr>
        <w:t xml:space="preserve">conducted and </w:t>
      </w:r>
      <w:r w:rsidR="005B67AA" w:rsidRPr="00390B67">
        <w:rPr>
          <w:rStyle w:val="Strong"/>
        </w:rPr>
        <w:t>tape-recorded</w:t>
      </w:r>
      <w:r w:rsidR="004C4481" w:rsidRPr="00390B67">
        <w:rPr>
          <w:rStyle w:val="Strong"/>
        </w:rPr>
        <w:t xml:space="preserve"> </w:t>
      </w:r>
      <w:r w:rsidR="007C1CE1" w:rsidRPr="00390B67">
        <w:rPr>
          <w:rStyle w:val="Strong"/>
        </w:rPr>
        <w:t>12</w:t>
      </w:r>
      <w:r w:rsidR="006C321A">
        <w:rPr>
          <w:rStyle w:val="Strong"/>
        </w:rPr>
        <w:t>3</w:t>
      </w:r>
      <w:r w:rsidR="007C1CE1" w:rsidRPr="00390B67">
        <w:rPr>
          <w:rStyle w:val="Strong"/>
        </w:rPr>
        <w:t xml:space="preserve"> </w:t>
      </w:r>
      <w:r w:rsidR="000C2D81" w:rsidRPr="00390B67">
        <w:rPr>
          <w:rStyle w:val="Strong"/>
        </w:rPr>
        <w:t>interviews</w:t>
      </w:r>
      <w:r w:rsidR="005B67AA">
        <w:rPr>
          <w:rStyle w:val="Strong"/>
        </w:rPr>
        <w:t>, each</w:t>
      </w:r>
      <w:r w:rsidR="002804FE" w:rsidRPr="00390B67">
        <w:rPr>
          <w:rStyle w:val="Strong"/>
        </w:rPr>
        <w:t xml:space="preserve"> </w:t>
      </w:r>
      <w:r w:rsidR="00472EAF" w:rsidRPr="00390B67">
        <w:rPr>
          <w:rStyle w:val="Strong"/>
        </w:rPr>
        <w:t>up to 2</w:t>
      </w:r>
      <w:r w:rsidR="005B67AA">
        <w:rPr>
          <w:rStyle w:val="Strong"/>
        </w:rPr>
        <w:t xml:space="preserve"> </w:t>
      </w:r>
      <w:r w:rsidR="00472EAF" w:rsidRPr="00390B67">
        <w:rPr>
          <w:rStyle w:val="Strong"/>
        </w:rPr>
        <w:t>hours long</w:t>
      </w:r>
      <w:r w:rsidR="00BE4A63" w:rsidRPr="00390B67">
        <w:rPr>
          <w:rStyle w:val="Strong"/>
        </w:rPr>
        <w:t>.</w:t>
      </w:r>
      <w:r w:rsidR="008018C2" w:rsidRPr="00390B67">
        <w:rPr>
          <w:rStyle w:val="Strong"/>
        </w:rPr>
        <w:t xml:space="preserve"> </w:t>
      </w:r>
      <w:r w:rsidR="00CC7D2B" w:rsidRPr="00390B67">
        <w:rPr>
          <w:rStyle w:val="Strong"/>
        </w:rPr>
        <w:t>Follow-up interviews were conducted to probe deeper into particular issues, double check a verbal account, and bridge gaps in the database.</w:t>
      </w:r>
      <w:r w:rsidR="00CC7D2B" w:rsidRPr="00390B67">
        <w:t xml:space="preserve"> </w:t>
      </w:r>
      <w:r w:rsidR="00061B96" w:rsidRPr="00390B67">
        <w:rPr>
          <w:rStyle w:val="Strong"/>
        </w:rPr>
        <w:t>We were</w:t>
      </w:r>
      <w:r w:rsidR="00CC7D2B" w:rsidRPr="00390B67">
        <w:rPr>
          <w:rStyle w:val="Strong"/>
        </w:rPr>
        <w:t xml:space="preserve"> </w:t>
      </w:r>
      <w:r w:rsidR="00B147D4" w:rsidRPr="00390B67">
        <w:rPr>
          <w:rStyle w:val="Strong"/>
        </w:rPr>
        <w:t>not asked to sign n</w:t>
      </w:r>
      <w:r w:rsidR="009B0164" w:rsidRPr="00390B67">
        <w:rPr>
          <w:rStyle w:val="Strong"/>
        </w:rPr>
        <w:t>on-disclosure agreements</w:t>
      </w:r>
      <w:r w:rsidR="006D1BB2" w:rsidRPr="00390B67">
        <w:rPr>
          <w:rStyle w:val="Strong"/>
        </w:rPr>
        <w:t xml:space="preserve"> </w:t>
      </w:r>
      <w:r w:rsidR="0010517A" w:rsidRPr="00390B67">
        <w:rPr>
          <w:rStyle w:val="Strong"/>
        </w:rPr>
        <w:t>for</w:t>
      </w:r>
      <w:r w:rsidR="006D1BB2" w:rsidRPr="00390B67">
        <w:rPr>
          <w:rStyle w:val="Strong"/>
        </w:rPr>
        <w:t xml:space="preserve"> interview data</w:t>
      </w:r>
      <w:r w:rsidR="003A204E">
        <w:rPr>
          <w:rStyle w:val="Strong"/>
        </w:rPr>
        <w:t>, b</w:t>
      </w:r>
      <w:r w:rsidR="00773E79" w:rsidRPr="00390B67">
        <w:rPr>
          <w:rStyle w:val="Strong"/>
        </w:rPr>
        <w:t xml:space="preserve">ut </w:t>
      </w:r>
      <w:r w:rsidR="00CE081E" w:rsidRPr="00390B67">
        <w:rPr>
          <w:rStyle w:val="Strong"/>
        </w:rPr>
        <w:t xml:space="preserve">always </w:t>
      </w:r>
      <w:r w:rsidR="005B67AA">
        <w:rPr>
          <w:rStyle w:val="Strong"/>
        </w:rPr>
        <w:t>first sought</w:t>
      </w:r>
      <w:r w:rsidR="002C45A0">
        <w:rPr>
          <w:rStyle w:val="Strong"/>
        </w:rPr>
        <w:t xml:space="preserve"> </w:t>
      </w:r>
      <w:r w:rsidR="00DD37D1" w:rsidRPr="00390B67">
        <w:rPr>
          <w:rStyle w:val="Strong"/>
        </w:rPr>
        <w:t>permission</w:t>
      </w:r>
      <w:r w:rsidR="00B147D4" w:rsidRPr="00390B67">
        <w:rPr>
          <w:rStyle w:val="Strong"/>
        </w:rPr>
        <w:t xml:space="preserve"> </w:t>
      </w:r>
      <w:r w:rsidR="00DD37D1" w:rsidRPr="00390B67">
        <w:rPr>
          <w:rStyle w:val="Strong"/>
        </w:rPr>
        <w:t xml:space="preserve">to use </w:t>
      </w:r>
      <w:r w:rsidR="00AF3391" w:rsidRPr="00390B67">
        <w:rPr>
          <w:rStyle w:val="Strong"/>
        </w:rPr>
        <w:t xml:space="preserve">verbatim </w:t>
      </w:r>
      <w:r w:rsidR="00DD37D1" w:rsidRPr="00390B67">
        <w:rPr>
          <w:rStyle w:val="Strong"/>
        </w:rPr>
        <w:t>quotes</w:t>
      </w:r>
      <w:r w:rsidR="003E17CA" w:rsidRPr="00390B67">
        <w:rPr>
          <w:rStyle w:val="Strong"/>
        </w:rPr>
        <w:t xml:space="preserve"> and </w:t>
      </w:r>
      <w:r w:rsidR="00773E79" w:rsidRPr="00390B67">
        <w:rPr>
          <w:rStyle w:val="Strong"/>
        </w:rPr>
        <w:t xml:space="preserve">offered </w:t>
      </w:r>
      <w:r w:rsidR="00650429" w:rsidRPr="00390B67">
        <w:rPr>
          <w:rStyle w:val="Strong"/>
        </w:rPr>
        <w:t>to</w:t>
      </w:r>
      <w:r w:rsidR="006D1BB2" w:rsidRPr="00390B67">
        <w:rPr>
          <w:rStyle w:val="Strong"/>
        </w:rPr>
        <w:t xml:space="preserve"> keep the </w:t>
      </w:r>
      <w:r w:rsidR="00CC3C5A" w:rsidRPr="00390B67">
        <w:rPr>
          <w:rStyle w:val="Strong"/>
        </w:rPr>
        <w:t>source</w:t>
      </w:r>
      <w:r w:rsidR="006D1BB2" w:rsidRPr="00390B67">
        <w:rPr>
          <w:rStyle w:val="Strong"/>
        </w:rPr>
        <w:t xml:space="preserve"> </w:t>
      </w:r>
      <w:r w:rsidR="009B0164" w:rsidRPr="00390B67">
        <w:rPr>
          <w:rStyle w:val="Strong"/>
        </w:rPr>
        <w:t xml:space="preserve">anonymous; </w:t>
      </w:r>
      <w:r w:rsidR="00DD37D1" w:rsidRPr="00390B67">
        <w:rPr>
          <w:rStyle w:val="Strong"/>
        </w:rPr>
        <w:t xml:space="preserve">some respondents gave </w:t>
      </w:r>
      <w:r w:rsidR="006532D7">
        <w:rPr>
          <w:rStyle w:val="Strong"/>
        </w:rPr>
        <w:t xml:space="preserve">us </w:t>
      </w:r>
      <w:r w:rsidR="009B1CD8" w:rsidRPr="00390B67">
        <w:rPr>
          <w:rStyle w:val="Strong"/>
        </w:rPr>
        <w:t>free rein to use the transcript</w:t>
      </w:r>
      <w:r w:rsidR="00DD37D1" w:rsidRPr="00390B67">
        <w:rPr>
          <w:rStyle w:val="Strong"/>
        </w:rPr>
        <w:t>s</w:t>
      </w:r>
      <w:r w:rsidR="00772270" w:rsidRPr="00390B67">
        <w:rPr>
          <w:rStyle w:val="Strong"/>
        </w:rPr>
        <w:t xml:space="preserve">, whereas others </w:t>
      </w:r>
      <w:r w:rsidR="00CE081E" w:rsidRPr="00390B67">
        <w:rPr>
          <w:rStyle w:val="Strong"/>
        </w:rPr>
        <w:t xml:space="preserve">disallowed </w:t>
      </w:r>
      <w:r w:rsidR="002809DD" w:rsidRPr="00390B67">
        <w:rPr>
          <w:rStyle w:val="Strong"/>
        </w:rPr>
        <w:t xml:space="preserve">the </w:t>
      </w:r>
      <w:r w:rsidR="00DD37D1" w:rsidRPr="00390B67">
        <w:rPr>
          <w:rStyle w:val="Strong"/>
        </w:rPr>
        <w:t>us</w:t>
      </w:r>
      <w:r w:rsidR="002809DD" w:rsidRPr="00390B67">
        <w:rPr>
          <w:rStyle w:val="Strong"/>
        </w:rPr>
        <w:t>e of</w:t>
      </w:r>
      <w:r w:rsidR="009B1CD8" w:rsidRPr="00390B67">
        <w:rPr>
          <w:rStyle w:val="Strong"/>
        </w:rPr>
        <w:t xml:space="preserve"> </w:t>
      </w:r>
      <w:r w:rsidR="00CE081E" w:rsidRPr="00390B67">
        <w:rPr>
          <w:rStyle w:val="Strong"/>
        </w:rPr>
        <w:t>particular quotes</w:t>
      </w:r>
      <w:r w:rsidR="00650429" w:rsidRPr="00390B67">
        <w:rPr>
          <w:rStyle w:val="Strong"/>
        </w:rPr>
        <w:t>.</w:t>
      </w:r>
      <w:r w:rsidR="006D1BB2" w:rsidRPr="00390B67">
        <w:rPr>
          <w:rStyle w:val="Strong"/>
        </w:rPr>
        <w:t xml:space="preserve"> </w:t>
      </w:r>
      <w:r w:rsidR="00650429" w:rsidRPr="00390B67">
        <w:rPr>
          <w:rStyle w:val="Strong"/>
        </w:rPr>
        <w:t>W</w:t>
      </w:r>
      <w:r w:rsidR="00F53ECD" w:rsidRPr="00390B67">
        <w:rPr>
          <w:rStyle w:val="Strong"/>
        </w:rPr>
        <w:t>e</w:t>
      </w:r>
      <w:r w:rsidR="006D1BB2" w:rsidRPr="00390B67">
        <w:rPr>
          <w:rStyle w:val="Strong"/>
        </w:rPr>
        <w:t xml:space="preserve"> </w:t>
      </w:r>
      <w:r w:rsidR="002C45A0">
        <w:rPr>
          <w:rStyle w:val="Strong"/>
        </w:rPr>
        <w:t xml:space="preserve">formally </w:t>
      </w:r>
      <w:r w:rsidR="006D1BB2" w:rsidRPr="00390B67">
        <w:rPr>
          <w:rStyle w:val="Strong"/>
        </w:rPr>
        <w:t xml:space="preserve">committed not to share </w:t>
      </w:r>
      <w:r w:rsidR="00CC7D2B" w:rsidRPr="00390B67">
        <w:rPr>
          <w:rStyle w:val="Strong"/>
        </w:rPr>
        <w:t>any</w:t>
      </w:r>
      <w:r w:rsidR="00061B96" w:rsidRPr="00390B67">
        <w:rPr>
          <w:rStyle w:val="Strong"/>
        </w:rPr>
        <w:t xml:space="preserve"> </w:t>
      </w:r>
      <w:r w:rsidR="003B5397" w:rsidRPr="00390B67">
        <w:rPr>
          <w:rStyle w:val="Strong"/>
        </w:rPr>
        <w:t>reports that</w:t>
      </w:r>
      <w:r w:rsidR="006D1BB2" w:rsidRPr="00390B67">
        <w:rPr>
          <w:rStyle w:val="Strong"/>
        </w:rPr>
        <w:t xml:space="preserve"> were not in the public domain. </w:t>
      </w:r>
      <w:r w:rsidR="000C2D81" w:rsidRPr="00390B67">
        <w:t xml:space="preserve">To </w:t>
      </w:r>
      <w:r w:rsidR="00F22F17" w:rsidRPr="00390B67">
        <w:t>gather</w:t>
      </w:r>
      <w:r w:rsidR="000C2D81" w:rsidRPr="00390B67">
        <w:t xml:space="preserve"> </w:t>
      </w:r>
      <w:r w:rsidR="00AC7258" w:rsidRPr="00390B67">
        <w:t xml:space="preserve">extra </w:t>
      </w:r>
      <w:r w:rsidR="000C2D81" w:rsidRPr="00390B67">
        <w:t xml:space="preserve">data </w:t>
      </w:r>
      <w:r w:rsidR="00AC7258" w:rsidRPr="00390B67">
        <w:t xml:space="preserve">and </w:t>
      </w:r>
      <w:r w:rsidR="005D4D1F" w:rsidRPr="00390B67">
        <w:t>allow</w:t>
      </w:r>
      <w:r w:rsidR="00AC7258" w:rsidRPr="00390B67">
        <w:t xml:space="preserve"> for member checks (Lincoln and Guba </w:t>
      </w:r>
      <w:r w:rsidR="00525869" w:rsidRPr="00390B67">
        <w:t>1985</w:t>
      </w:r>
      <w:r w:rsidR="00AC7258" w:rsidRPr="00390B67">
        <w:t>)</w:t>
      </w:r>
      <w:r w:rsidR="00C873A2" w:rsidRPr="00390B67">
        <w:t>, we shared</w:t>
      </w:r>
      <w:r w:rsidR="000C2D81" w:rsidRPr="00390B67">
        <w:t xml:space="preserve"> </w:t>
      </w:r>
      <w:r w:rsidR="00F67884" w:rsidRPr="00390B67">
        <w:t>the</w:t>
      </w:r>
      <w:r w:rsidR="00A32DD0" w:rsidRPr="00390B67">
        <w:t xml:space="preserve"> emerging findings</w:t>
      </w:r>
      <w:r w:rsidR="00F67884" w:rsidRPr="00390B67">
        <w:t xml:space="preserve"> </w:t>
      </w:r>
      <w:r w:rsidR="00A32DD0" w:rsidRPr="00390B67">
        <w:t xml:space="preserve">with </w:t>
      </w:r>
      <w:r w:rsidR="0010517A" w:rsidRPr="00390B67">
        <w:t xml:space="preserve">the </w:t>
      </w:r>
      <w:r w:rsidR="00A32DD0" w:rsidRPr="00390B67">
        <w:t>respondents</w:t>
      </w:r>
      <w:r w:rsidR="00C873A2" w:rsidRPr="00390B67">
        <w:t xml:space="preserve">. We also invited 13 respondents </w:t>
      </w:r>
      <w:r w:rsidR="000C2D81" w:rsidRPr="00390B67">
        <w:t xml:space="preserve">to give </w:t>
      </w:r>
      <w:r w:rsidR="00772270" w:rsidRPr="00390B67">
        <w:t>presentations</w:t>
      </w:r>
      <w:r w:rsidR="00E605FC" w:rsidRPr="00390B67">
        <w:t xml:space="preserve"> </w:t>
      </w:r>
      <w:r w:rsidR="000C2D81" w:rsidRPr="00390B67">
        <w:t xml:space="preserve">and </w:t>
      </w:r>
      <w:r w:rsidR="00F22F17" w:rsidRPr="00390B67">
        <w:t xml:space="preserve">stay for </w:t>
      </w:r>
      <w:r w:rsidR="000C2D81" w:rsidRPr="00390B67">
        <w:t xml:space="preserve">lunch. </w:t>
      </w:r>
      <w:r w:rsidR="00C873A2" w:rsidRPr="00390B67">
        <w:t>F</w:t>
      </w:r>
      <w:r w:rsidR="00525869" w:rsidRPr="00390B67">
        <w:t xml:space="preserve">or each </w:t>
      </w:r>
      <w:r w:rsidR="00021C10" w:rsidRPr="00390B67">
        <w:t>visit</w:t>
      </w:r>
      <w:r w:rsidR="00C873A2" w:rsidRPr="00390B67">
        <w:t>,</w:t>
      </w:r>
      <w:r w:rsidR="0010517A" w:rsidRPr="00390B67">
        <w:t xml:space="preserve"> we</w:t>
      </w:r>
      <w:r w:rsidR="00525869" w:rsidRPr="00390B67">
        <w:t xml:space="preserve"> </w:t>
      </w:r>
      <w:r w:rsidR="00021C10" w:rsidRPr="00390B67">
        <w:t xml:space="preserve">produced hand-recorded </w:t>
      </w:r>
      <w:r w:rsidR="00CD3EF6">
        <w:t xml:space="preserve">verbatim </w:t>
      </w:r>
      <w:r w:rsidR="000C2D81" w:rsidRPr="00390B67">
        <w:t>notes</w:t>
      </w:r>
      <w:r w:rsidR="00021C10" w:rsidRPr="00390B67">
        <w:t xml:space="preserve"> of the </w:t>
      </w:r>
      <w:r w:rsidR="00732747" w:rsidRPr="00390B67">
        <w:t>talks</w:t>
      </w:r>
      <w:r w:rsidR="00CF3C46">
        <w:t xml:space="preserve"> </w:t>
      </w:r>
      <w:r w:rsidR="00021C10" w:rsidRPr="00390B67">
        <w:t xml:space="preserve">and </w:t>
      </w:r>
      <w:r>
        <w:t>of</w:t>
      </w:r>
      <w:r w:rsidR="00CF3C46">
        <w:t xml:space="preserve"> the</w:t>
      </w:r>
      <w:r>
        <w:t xml:space="preserve"> </w:t>
      </w:r>
      <w:r w:rsidR="00C873A2" w:rsidRPr="00390B67">
        <w:t xml:space="preserve">informal </w:t>
      </w:r>
      <w:r w:rsidR="00021C10" w:rsidRPr="00390B67">
        <w:t>conversations</w:t>
      </w:r>
      <w:r w:rsidR="00C873A2" w:rsidRPr="00390B67">
        <w:t xml:space="preserve"> at lunch time</w:t>
      </w:r>
      <w:r w:rsidR="00525869" w:rsidRPr="00390B67">
        <w:t>.</w:t>
      </w:r>
      <w:r w:rsidR="000C2D81" w:rsidRPr="00390B67">
        <w:t xml:space="preserve"> </w:t>
      </w:r>
    </w:p>
    <w:p w14:paraId="4027BFDF" w14:textId="79BA8962" w:rsidR="00250ACB" w:rsidRPr="00390B67" w:rsidRDefault="00691AA7" w:rsidP="00C81655">
      <w:pPr>
        <w:rPr>
          <w:rStyle w:val="Strong"/>
        </w:rPr>
      </w:pPr>
      <w:r w:rsidRPr="00390B67">
        <w:t xml:space="preserve">To improve </w:t>
      </w:r>
      <w:r w:rsidR="00061B96" w:rsidRPr="00390B67">
        <w:t>data</w:t>
      </w:r>
      <w:r w:rsidRPr="00390B67">
        <w:t xml:space="preserve"> accuracy </w:t>
      </w:r>
      <w:r w:rsidR="00061B96" w:rsidRPr="00390B67">
        <w:t>and the robustness of the</w:t>
      </w:r>
      <w:r w:rsidRPr="00390B67">
        <w:t xml:space="preserve"> insights (</w:t>
      </w:r>
      <w:proofErr w:type="spellStart"/>
      <w:r w:rsidRPr="00390B67">
        <w:t>Jick</w:t>
      </w:r>
      <w:proofErr w:type="spellEnd"/>
      <w:r w:rsidRPr="00390B67">
        <w:t xml:space="preserve"> 1979)</w:t>
      </w:r>
      <w:r w:rsidR="00C873A2" w:rsidRPr="00390B67">
        <w:t>,</w:t>
      </w:r>
      <w:r w:rsidR="0047532F" w:rsidRPr="00390B67">
        <w:t xml:space="preserve"> we triangulated</w:t>
      </w:r>
      <w:r w:rsidRPr="00390B67">
        <w:t xml:space="preserve"> </w:t>
      </w:r>
      <w:r w:rsidR="00F67884" w:rsidRPr="00390B67">
        <w:t xml:space="preserve">the verbal accounts </w:t>
      </w:r>
      <w:r w:rsidRPr="00390B67">
        <w:t xml:space="preserve">against archival </w:t>
      </w:r>
      <w:r w:rsidR="0047532F" w:rsidRPr="00390B67">
        <w:t xml:space="preserve">data </w:t>
      </w:r>
      <w:r w:rsidRPr="00390B67">
        <w:t xml:space="preserve">(Miles and Huberman </w:t>
      </w:r>
      <w:r w:rsidR="00021C10" w:rsidRPr="00390B67">
        <w:t>1994</w:t>
      </w:r>
      <w:r w:rsidR="008D722C" w:rsidRPr="00390B67">
        <w:t xml:space="preserve">). </w:t>
      </w:r>
      <w:r w:rsidR="004D6B84" w:rsidRPr="00390B67">
        <w:t xml:space="preserve">The </w:t>
      </w:r>
      <w:r w:rsidR="00B324DE">
        <w:t>planning stage</w:t>
      </w:r>
      <w:r w:rsidR="00835D85" w:rsidRPr="00390B67">
        <w:t xml:space="preserve"> of a large</w:t>
      </w:r>
      <w:r w:rsidR="009C5456" w:rsidRPr="00390B67">
        <w:t xml:space="preserve"> </w:t>
      </w:r>
      <w:r w:rsidR="00144D66" w:rsidRPr="00390B67">
        <w:t>infrastructure</w:t>
      </w:r>
      <w:r w:rsidR="009C5456" w:rsidRPr="00390B67">
        <w:t xml:space="preserve"> project</w:t>
      </w:r>
      <w:r w:rsidR="004C4481" w:rsidRPr="00390B67">
        <w:t xml:space="preserve"> in the UK</w:t>
      </w:r>
      <w:r w:rsidR="001704AD" w:rsidRPr="00390B67">
        <w:t xml:space="preserve"> is</w:t>
      </w:r>
      <w:r w:rsidR="008D722C" w:rsidRPr="00390B67">
        <w:t xml:space="preserve"> </w:t>
      </w:r>
      <w:r w:rsidR="00CF3C46">
        <w:t xml:space="preserve">highly </w:t>
      </w:r>
      <w:r w:rsidR="008D722C" w:rsidRPr="00390B67">
        <w:t>regulated</w:t>
      </w:r>
      <w:r w:rsidR="0047532F" w:rsidRPr="00390B67">
        <w:t xml:space="preserve">. </w:t>
      </w:r>
      <w:r w:rsidR="00CF3C46">
        <w:t xml:space="preserve">In public projects, </w:t>
      </w:r>
      <w:r w:rsidR="00144D66" w:rsidRPr="00390B67">
        <w:t xml:space="preserve">many documents </w:t>
      </w:r>
      <w:r w:rsidR="001704AD" w:rsidRPr="00390B67">
        <w:t>are</w:t>
      </w:r>
      <w:r w:rsidR="0047532F" w:rsidRPr="00390B67">
        <w:t xml:space="preserve"> uploaded </w:t>
      </w:r>
      <w:r w:rsidR="00144D66" w:rsidRPr="00390B67">
        <w:t>online</w:t>
      </w:r>
      <w:r w:rsidR="0047532F" w:rsidRPr="00390B67">
        <w:t xml:space="preserve"> </w:t>
      </w:r>
      <w:r w:rsidR="00C873A2" w:rsidRPr="00390B67">
        <w:t xml:space="preserve">because </w:t>
      </w:r>
      <w:r w:rsidR="0047532F" w:rsidRPr="00390B67">
        <w:t>the promoter</w:t>
      </w:r>
      <w:r w:rsidR="00F83603" w:rsidRPr="00390B67">
        <w:t xml:space="preserve"> </w:t>
      </w:r>
      <w:r w:rsidR="005B67AA">
        <w:t>either elects</w:t>
      </w:r>
      <w:r w:rsidR="006532D7" w:rsidRPr="00390B67">
        <w:t xml:space="preserve"> </w:t>
      </w:r>
      <w:r w:rsidR="00C873A2" w:rsidRPr="00390B67">
        <w:t xml:space="preserve">or </w:t>
      </w:r>
      <w:r w:rsidR="00CF3C46">
        <w:t>is mandated</w:t>
      </w:r>
      <w:r w:rsidR="00CD3EF6">
        <w:t xml:space="preserve"> to</w:t>
      </w:r>
      <w:r w:rsidR="006532D7">
        <w:t xml:space="preserve"> do so</w:t>
      </w:r>
      <w:r w:rsidR="00C873A2" w:rsidRPr="00390B67">
        <w:t xml:space="preserve"> </w:t>
      </w:r>
      <w:r w:rsidR="0047532F" w:rsidRPr="00390B67">
        <w:t>under the</w:t>
      </w:r>
      <w:r w:rsidRPr="00390B67">
        <w:t xml:space="preserve"> Freedom of Information</w:t>
      </w:r>
      <w:r w:rsidR="00250ACB" w:rsidRPr="00390B67">
        <w:t xml:space="preserve"> A</w:t>
      </w:r>
      <w:r w:rsidR="005D4D1F" w:rsidRPr="00390B67">
        <w:t>ct</w:t>
      </w:r>
      <w:r w:rsidR="00F67884" w:rsidRPr="00390B67">
        <w:t>.</w:t>
      </w:r>
      <w:r w:rsidRPr="00390B67">
        <w:t xml:space="preserve"> </w:t>
      </w:r>
      <w:r w:rsidR="00144D66" w:rsidRPr="00390B67">
        <w:t>Key documents included</w:t>
      </w:r>
      <w:r w:rsidR="00634A9E" w:rsidRPr="00390B67">
        <w:t xml:space="preserve"> </w:t>
      </w:r>
      <w:r w:rsidRPr="00390B67">
        <w:t xml:space="preserve">minutes of </w:t>
      </w:r>
      <w:r w:rsidR="00FF2E25" w:rsidRPr="00390B67">
        <w:t xml:space="preserve">board </w:t>
      </w:r>
      <w:r w:rsidRPr="00390B67">
        <w:t>meetings,</w:t>
      </w:r>
      <w:r w:rsidR="00FF2E25" w:rsidRPr="00390B67">
        <w:t xml:space="preserve"> </w:t>
      </w:r>
      <w:r w:rsidR="0041521D">
        <w:t>letters</w:t>
      </w:r>
      <w:r w:rsidR="0041521D" w:rsidRPr="00390B67">
        <w:t xml:space="preserve"> </w:t>
      </w:r>
      <w:r w:rsidR="006532D7">
        <w:t>exchange</w:t>
      </w:r>
      <w:r w:rsidR="0041521D">
        <w:t>d</w:t>
      </w:r>
      <w:r w:rsidR="0032719F">
        <w:t xml:space="preserve"> between the promoter and </w:t>
      </w:r>
      <w:r w:rsidR="00CF3C46">
        <w:t>development partners</w:t>
      </w:r>
      <w:r w:rsidR="00C25FB3" w:rsidRPr="00390B67">
        <w:t xml:space="preserve">, </w:t>
      </w:r>
      <w:r w:rsidRPr="00390B67">
        <w:t>and reports</w:t>
      </w:r>
      <w:r w:rsidR="00C25FB3" w:rsidRPr="00390B67">
        <w:t xml:space="preserve"> announcing performance </w:t>
      </w:r>
      <w:r w:rsidR="000C2D81" w:rsidRPr="00390B67">
        <w:t xml:space="preserve">targets </w:t>
      </w:r>
      <w:r w:rsidR="00C25FB3" w:rsidRPr="00390B67">
        <w:t xml:space="preserve">and </w:t>
      </w:r>
      <w:r w:rsidR="00061B96" w:rsidRPr="00390B67">
        <w:t xml:space="preserve">corresponding </w:t>
      </w:r>
      <w:r w:rsidR="00C25FB3" w:rsidRPr="00390B67">
        <w:t>plans</w:t>
      </w:r>
      <w:r w:rsidR="009B0164" w:rsidRPr="00390B67">
        <w:t xml:space="preserve">. </w:t>
      </w:r>
      <w:r w:rsidR="003123FE" w:rsidRPr="00390B67">
        <w:t xml:space="preserve">In the case of BAA, </w:t>
      </w:r>
      <w:r w:rsidR="00061B96" w:rsidRPr="00390B67">
        <w:t xml:space="preserve">we studied </w:t>
      </w:r>
      <w:r w:rsidR="003123FE" w:rsidRPr="00390B67">
        <w:t xml:space="preserve">capital </w:t>
      </w:r>
      <w:r w:rsidRPr="00390B67">
        <w:t>p</w:t>
      </w:r>
      <w:r w:rsidR="00061B96" w:rsidRPr="00390B67">
        <w:t>rograms</w:t>
      </w:r>
      <w:r w:rsidRPr="00390B67">
        <w:t>, master plans, and consultation documents</w:t>
      </w:r>
      <w:r w:rsidRPr="006C321A">
        <w:t xml:space="preserve">. </w:t>
      </w:r>
      <w:r w:rsidR="000F3DC5" w:rsidRPr="006C321A">
        <w:t xml:space="preserve">The </w:t>
      </w:r>
      <w:r w:rsidR="005E1F1B" w:rsidRPr="006C321A">
        <w:t xml:space="preserve">disputes </w:t>
      </w:r>
      <w:r w:rsidRPr="006C321A">
        <w:t>between BAA and</w:t>
      </w:r>
      <w:r w:rsidR="00CF3C46">
        <w:t xml:space="preserve"> the main user of T2,</w:t>
      </w:r>
      <w:r w:rsidRPr="006C321A">
        <w:t xml:space="preserve"> </w:t>
      </w:r>
      <w:r w:rsidR="00634A9E" w:rsidRPr="006C321A">
        <w:t>S</w:t>
      </w:r>
      <w:r w:rsidR="005A0264" w:rsidRPr="006C321A">
        <w:t>tar Alliance</w:t>
      </w:r>
      <w:r w:rsidR="0047532F" w:rsidRPr="006C321A">
        <w:t xml:space="preserve"> (which included over twenty airlines)</w:t>
      </w:r>
      <w:r w:rsidR="00CF3C46">
        <w:t>,</w:t>
      </w:r>
      <w:r w:rsidR="005A0264" w:rsidRPr="006C321A">
        <w:t xml:space="preserve"> </w:t>
      </w:r>
      <w:r w:rsidR="000F3DC5" w:rsidRPr="006C321A">
        <w:t xml:space="preserve">were </w:t>
      </w:r>
      <w:r w:rsidRPr="00390B67">
        <w:t>documented in reports produced by the regulator and</w:t>
      </w:r>
      <w:r w:rsidR="00061B96" w:rsidRPr="00390B67">
        <w:t xml:space="preserve"> </w:t>
      </w:r>
      <w:r w:rsidR="0010517A" w:rsidRPr="00390B67">
        <w:t>in</w:t>
      </w:r>
      <w:r w:rsidR="00C45B92" w:rsidRPr="00390B67">
        <w:t xml:space="preserve"> </w:t>
      </w:r>
      <w:r w:rsidR="0047532F" w:rsidRPr="00390B67">
        <w:lastRenderedPageBreak/>
        <w:t xml:space="preserve">exchanges </w:t>
      </w:r>
      <w:r w:rsidR="00634A9E" w:rsidRPr="00390B67">
        <w:t>between BAA,</w:t>
      </w:r>
      <w:r w:rsidR="0024385B" w:rsidRPr="00390B67">
        <w:t xml:space="preserve"> STAR</w:t>
      </w:r>
      <w:r w:rsidR="006532D7">
        <w:t>,</w:t>
      </w:r>
      <w:r w:rsidR="00634A9E" w:rsidRPr="00390B67">
        <w:t xml:space="preserve"> and the regulator</w:t>
      </w:r>
      <w:r w:rsidR="0032719F">
        <w:t>.</w:t>
      </w:r>
      <w:r w:rsidRPr="00390B67">
        <w:t xml:space="preserve"> </w:t>
      </w:r>
      <w:r w:rsidR="00963512" w:rsidRPr="00390B67">
        <w:t>The inclusion of the HS2 case was important because planning</w:t>
      </w:r>
      <w:r w:rsidR="00F83603" w:rsidRPr="00390B67">
        <w:t xml:space="preserve"> for this </w:t>
      </w:r>
      <w:r w:rsidR="005B67AA">
        <w:t>project</w:t>
      </w:r>
      <w:r w:rsidR="00963512" w:rsidRPr="00390B67">
        <w:t xml:space="preserve"> </w:t>
      </w:r>
      <w:r w:rsidR="00C81655">
        <w:t>unfolded concurrently with data collection and analysis, which</w:t>
      </w:r>
      <w:r w:rsidR="00D85BF1">
        <w:t xml:space="preserve"> further</w:t>
      </w:r>
      <w:r w:rsidR="00C81655">
        <w:t xml:space="preserve"> limited the risk of </w:t>
      </w:r>
      <w:r w:rsidR="00D85BF1">
        <w:t>account</w:t>
      </w:r>
      <w:r w:rsidR="00C81655">
        <w:t xml:space="preserve"> bias and created </w:t>
      </w:r>
      <w:r w:rsidR="00D85BF1">
        <w:t xml:space="preserve">added </w:t>
      </w:r>
      <w:r w:rsidR="00C81655">
        <w:t xml:space="preserve">opportunity </w:t>
      </w:r>
      <w:r w:rsidR="00C81655" w:rsidRPr="00390B67">
        <w:t xml:space="preserve">to test </w:t>
      </w:r>
      <w:r w:rsidR="00D85BF1">
        <w:t xml:space="preserve">the </w:t>
      </w:r>
      <w:r w:rsidR="00C81655" w:rsidRPr="00390B67">
        <w:t xml:space="preserve">emerging insights </w:t>
      </w:r>
      <w:r w:rsidR="00C81655">
        <w:t>(</w:t>
      </w:r>
      <w:r w:rsidR="00963512" w:rsidRPr="00390B67">
        <w:t>Denis et al. 2011</w:t>
      </w:r>
      <w:r w:rsidR="00D85BF1">
        <w:t>, Miles and Huberman 1994</w:t>
      </w:r>
      <w:r w:rsidR="00963512" w:rsidRPr="00390B67">
        <w:t>).</w:t>
      </w:r>
      <w:r w:rsidR="00CE4401">
        <w:t xml:space="preserve"> </w:t>
      </w:r>
      <w:r w:rsidR="00963512" w:rsidRPr="00390B67">
        <w:t>For all cases,</w:t>
      </w:r>
      <w:r w:rsidR="00CE4401">
        <w:t xml:space="preserve"> we </w:t>
      </w:r>
      <w:r w:rsidR="005B67AA">
        <w:t>crosschecked</w:t>
      </w:r>
      <w:r w:rsidR="005B67AA" w:rsidRPr="00390B67">
        <w:t xml:space="preserve"> </w:t>
      </w:r>
      <w:r w:rsidR="00963512" w:rsidRPr="00390B67">
        <w:t>i</w:t>
      </w:r>
      <w:r w:rsidR="00F67884" w:rsidRPr="00390B67">
        <w:t xml:space="preserve">nformation in the project documents </w:t>
      </w:r>
      <w:r w:rsidRPr="00390B67">
        <w:t xml:space="preserve">against </w:t>
      </w:r>
      <w:r w:rsidR="0047532F" w:rsidRPr="00390B67">
        <w:t xml:space="preserve">third-party </w:t>
      </w:r>
      <w:r w:rsidRPr="00390B67">
        <w:t>reports. Hence</w:t>
      </w:r>
      <w:r w:rsidR="005B67AA">
        <w:t>,</w:t>
      </w:r>
      <w:r w:rsidRPr="00390B67">
        <w:t xml:space="preserve"> </w:t>
      </w:r>
      <w:r w:rsidR="00061B96" w:rsidRPr="00390B67">
        <w:t>we</w:t>
      </w:r>
      <w:r w:rsidRPr="00390B67">
        <w:t xml:space="preserve"> combed through reports produced by the National Audits Office, Parliamentary committees, </w:t>
      </w:r>
      <w:r w:rsidR="00CE4401">
        <w:t>spending</w:t>
      </w:r>
      <w:r w:rsidR="00CE4401" w:rsidRPr="00390B67">
        <w:t xml:space="preserve"> </w:t>
      </w:r>
      <w:r w:rsidR="00732747" w:rsidRPr="00390B67">
        <w:t xml:space="preserve">watchdogs, </w:t>
      </w:r>
      <w:r w:rsidR="00F67884" w:rsidRPr="00390B67">
        <w:t xml:space="preserve">and other </w:t>
      </w:r>
      <w:r w:rsidR="0032719F">
        <w:t xml:space="preserve">public </w:t>
      </w:r>
      <w:r w:rsidR="00963512" w:rsidRPr="00390B67">
        <w:t>agencies</w:t>
      </w:r>
      <w:r w:rsidR="00F67884" w:rsidRPr="00390B67">
        <w:t xml:space="preserve">. </w:t>
      </w:r>
      <w:r w:rsidRPr="00390B67">
        <w:t xml:space="preserve">Other sources of </w:t>
      </w:r>
      <w:r w:rsidR="0047532F" w:rsidRPr="00390B67">
        <w:t xml:space="preserve">archival </w:t>
      </w:r>
      <w:r w:rsidRPr="00390B67">
        <w:t xml:space="preserve">data were articles and interviews with </w:t>
      </w:r>
      <w:r w:rsidR="002809DD" w:rsidRPr="00390B67">
        <w:t xml:space="preserve">top </w:t>
      </w:r>
      <w:r w:rsidRPr="00390B67">
        <w:t xml:space="preserve">managers in professional outlets, e.g., </w:t>
      </w:r>
      <w:r w:rsidRPr="00E100AD">
        <w:rPr>
          <w:i/>
        </w:rPr>
        <w:t>New Civil Engineering</w:t>
      </w:r>
      <w:r w:rsidRPr="00390B67">
        <w:t xml:space="preserve">, </w:t>
      </w:r>
      <w:r w:rsidRPr="00E100AD">
        <w:rPr>
          <w:i/>
        </w:rPr>
        <w:t>Construction News</w:t>
      </w:r>
      <w:r w:rsidRPr="00390B67">
        <w:t>, and articles in the</w:t>
      </w:r>
      <w:r w:rsidR="00634A9E" w:rsidRPr="00390B67">
        <w:t xml:space="preserve"> </w:t>
      </w:r>
      <w:r w:rsidR="00CE4401">
        <w:t xml:space="preserve">mainstream </w:t>
      </w:r>
      <w:r w:rsidRPr="00390B67">
        <w:t xml:space="preserve">press, particularly </w:t>
      </w:r>
      <w:r w:rsidR="009B0164" w:rsidRPr="00390B67">
        <w:t>for</w:t>
      </w:r>
      <w:r w:rsidR="0032719F">
        <w:t xml:space="preserve"> </w:t>
      </w:r>
      <w:r w:rsidR="009C5456" w:rsidRPr="00390B67">
        <w:t xml:space="preserve">disputes </w:t>
      </w:r>
      <w:r w:rsidR="009B0164" w:rsidRPr="00390B67">
        <w:t>that</w:t>
      </w:r>
      <w:r w:rsidRPr="00390B67">
        <w:t xml:space="preserve"> had fallen in the public domain. </w:t>
      </w:r>
    </w:p>
    <w:p w14:paraId="43A25636" w14:textId="1C73CB2B" w:rsidR="009B0164" w:rsidRPr="005749D0" w:rsidRDefault="00434CBE" w:rsidP="005749D0">
      <w:pPr>
        <w:pStyle w:val="Heading2"/>
        <w:numPr>
          <w:ilvl w:val="1"/>
          <w:numId w:val="9"/>
        </w:numPr>
        <w:spacing w:line="480" w:lineRule="auto"/>
        <w:rPr>
          <w:rStyle w:val="Strong"/>
          <w:b w:val="0"/>
          <w:bCs w:val="0"/>
          <w:i/>
          <w:szCs w:val="24"/>
        </w:rPr>
      </w:pPr>
      <w:r>
        <w:rPr>
          <w:rStyle w:val="Strong"/>
        </w:rPr>
        <w:t xml:space="preserve"> </w:t>
      </w:r>
      <w:r w:rsidR="009B0164" w:rsidRPr="005749D0">
        <w:rPr>
          <w:rStyle w:val="Strong"/>
          <w:b w:val="0"/>
          <w:i/>
        </w:rPr>
        <w:t>Methods</w:t>
      </w:r>
    </w:p>
    <w:p w14:paraId="06DD419B" w14:textId="305D1C0C" w:rsidR="00CF3C46" w:rsidRDefault="00525869" w:rsidP="00FE65BD">
      <w:r w:rsidRPr="00390B67">
        <w:t>Following</w:t>
      </w:r>
      <w:r w:rsidR="00163722" w:rsidRPr="00390B67">
        <w:t xml:space="preserve"> </w:t>
      </w:r>
      <w:r w:rsidRPr="00390B67">
        <w:t>recommendations</w:t>
      </w:r>
      <w:r w:rsidR="00163722" w:rsidRPr="00390B67">
        <w:t xml:space="preserve"> for inductive reasoning (</w:t>
      </w:r>
      <w:r w:rsidR="00DA461D" w:rsidRPr="00390B67">
        <w:rPr>
          <w:rStyle w:val="Strong"/>
        </w:rPr>
        <w:t xml:space="preserve">Langley 1999, </w:t>
      </w:r>
      <w:proofErr w:type="spellStart"/>
      <w:r w:rsidR="00163722" w:rsidRPr="00390B67">
        <w:t>Ketokivi</w:t>
      </w:r>
      <w:proofErr w:type="spellEnd"/>
      <w:r w:rsidR="00163722" w:rsidRPr="00390B67">
        <w:t xml:space="preserve"> and </w:t>
      </w:r>
      <w:proofErr w:type="spellStart"/>
      <w:r w:rsidR="00163722" w:rsidRPr="00390B67">
        <w:t>Mantere</w:t>
      </w:r>
      <w:proofErr w:type="spellEnd"/>
      <w:r w:rsidR="00163722" w:rsidRPr="00390B67">
        <w:t xml:space="preserve"> 2010</w:t>
      </w:r>
      <w:r w:rsidR="00A32DD0" w:rsidRPr="00390B67">
        <w:t>)</w:t>
      </w:r>
      <w:r w:rsidR="00F53ECD" w:rsidRPr="00390B67">
        <w:t xml:space="preserve"> we produced</w:t>
      </w:r>
      <w:r w:rsidRPr="00390B67">
        <w:t xml:space="preserve"> </w:t>
      </w:r>
      <w:r w:rsidR="00CC4211" w:rsidRPr="00390B67">
        <w:t xml:space="preserve">detailed </w:t>
      </w:r>
      <w:r w:rsidR="000F3DC5" w:rsidRPr="00390B67">
        <w:t>accounts</w:t>
      </w:r>
      <w:r w:rsidR="00DA461D" w:rsidRPr="00390B67">
        <w:t xml:space="preserve"> </w:t>
      </w:r>
      <w:r w:rsidR="006250FE" w:rsidRPr="00390B67">
        <w:t>for each case</w:t>
      </w:r>
      <w:r w:rsidR="007A5FFB" w:rsidRPr="00390B67">
        <w:t>. Each account</w:t>
      </w:r>
      <w:r w:rsidR="006250FE" w:rsidRPr="00390B67">
        <w:t xml:space="preserve"> </w:t>
      </w:r>
      <w:r w:rsidRPr="00390B67">
        <w:t>provid</w:t>
      </w:r>
      <w:r w:rsidR="00163722" w:rsidRPr="00390B67">
        <w:t>e</w:t>
      </w:r>
      <w:r w:rsidR="00F10FAE" w:rsidRPr="00390B67">
        <w:t>s</w:t>
      </w:r>
      <w:r w:rsidRPr="00390B67">
        <w:t xml:space="preserve"> a contextual</w:t>
      </w:r>
      <w:r w:rsidR="00E878BF" w:rsidRPr="00390B67">
        <w:t>ised</w:t>
      </w:r>
      <w:r w:rsidR="00D37781" w:rsidRPr="00390B67">
        <w:t xml:space="preserve"> and</w:t>
      </w:r>
      <w:r w:rsidR="00021C10" w:rsidRPr="00390B67">
        <w:t xml:space="preserve"> chronologic</w:t>
      </w:r>
      <w:r w:rsidR="00250ACB" w:rsidRPr="00390B67">
        <w:t xml:space="preserve"> understanding</w:t>
      </w:r>
      <w:r w:rsidR="00F10FAE" w:rsidRPr="00390B67">
        <w:t xml:space="preserve"> to</w:t>
      </w:r>
      <w:r w:rsidR="00B47F8C" w:rsidRPr="00390B67">
        <w:t xml:space="preserve"> </w:t>
      </w:r>
      <w:r w:rsidR="00021C10" w:rsidRPr="00390B67">
        <w:t>guard against account bias</w:t>
      </w:r>
      <w:r w:rsidR="00473C56">
        <w:t>.</w:t>
      </w:r>
      <w:r w:rsidR="00021C10" w:rsidRPr="00390B67">
        <w:t xml:space="preserve"> </w:t>
      </w:r>
      <w:r w:rsidR="004C4481" w:rsidRPr="00390B67">
        <w:t xml:space="preserve">We then used </w:t>
      </w:r>
      <w:r w:rsidR="006725ED" w:rsidRPr="00390B67">
        <w:t>Design Structure Matrices</w:t>
      </w:r>
      <w:r w:rsidR="00F53ECD" w:rsidRPr="00390B67">
        <w:t xml:space="preserve"> </w:t>
      </w:r>
      <w:r w:rsidR="00250ACB" w:rsidRPr="00390B67">
        <w:t xml:space="preserve">(DSMs) </w:t>
      </w:r>
      <w:r w:rsidR="00F53ECD" w:rsidRPr="00390B67">
        <w:t>t</w:t>
      </w:r>
      <w:r w:rsidR="00C8518D" w:rsidRPr="00390B67">
        <w:t>o</w:t>
      </w:r>
      <w:r w:rsidR="00FE65BD">
        <w:t xml:space="preserve"> model the planning problem. </w:t>
      </w:r>
      <w:r w:rsidR="005B67AA">
        <w:t xml:space="preserve">The DSM is a </w:t>
      </w:r>
      <w:r w:rsidR="00BA7B6A">
        <w:t xml:space="preserve">modelling </w:t>
      </w:r>
      <w:r w:rsidR="005B67AA">
        <w:t xml:space="preserve">tool </w:t>
      </w:r>
      <w:r w:rsidR="00D85BF1" w:rsidRPr="00390B67">
        <w:t>from design theory</w:t>
      </w:r>
      <w:r w:rsidR="00D85BF1">
        <w:t xml:space="preserve"> </w:t>
      </w:r>
      <w:r w:rsidR="00801627">
        <w:t>suitable to</w:t>
      </w:r>
      <w:r w:rsidR="00BA7B6A">
        <w:t xml:space="preserve"> </w:t>
      </w:r>
      <w:r w:rsidR="00D85BF1">
        <w:t>represent</w:t>
      </w:r>
      <w:r w:rsidR="00BA7B6A">
        <w:t xml:space="preserve"> complex systems </w:t>
      </w:r>
      <w:r w:rsidR="00D85BF1" w:rsidRPr="00390B67">
        <w:t>(Steward 1981</w:t>
      </w:r>
      <w:r w:rsidR="00D85BF1">
        <w:t xml:space="preserve">, </w:t>
      </w:r>
      <w:proofErr w:type="spellStart"/>
      <w:r w:rsidR="00D85BF1">
        <w:t>Eppinger</w:t>
      </w:r>
      <w:proofErr w:type="spellEnd"/>
      <w:r w:rsidR="00D85BF1">
        <w:t xml:space="preserve"> et al. 1994,</w:t>
      </w:r>
      <w:r w:rsidR="00D85BF1" w:rsidRPr="00D85BF1">
        <w:t xml:space="preserve"> </w:t>
      </w:r>
      <w:proofErr w:type="spellStart"/>
      <w:r w:rsidR="00D85BF1">
        <w:t>Eppinger</w:t>
      </w:r>
      <w:proofErr w:type="spellEnd"/>
      <w:r w:rsidR="00D85BF1">
        <w:t xml:space="preserve"> and Browning 2012</w:t>
      </w:r>
      <w:r w:rsidR="00D85BF1" w:rsidRPr="00390B67">
        <w:t>)</w:t>
      </w:r>
      <w:r w:rsidR="0077661F">
        <w:t>.</w:t>
      </w:r>
      <w:r w:rsidR="00D85BF1">
        <w:t xml:space="preserve"> </w:t>
      </w:r>
      <w:r w:rsidR="00BA7B6A">
        <w:t xml:space="preserve"> </w:t>
      </w:r>
      <w:r w:rsidR="005B67AA">
        <w:t xml:space="preserve">Specifically, </w:t>
      </w:r>
      <w:r w:rsidR="00E50117">
        <w:t>DSMs</w:t>
      </w:r>
      <w:r w:rsidR="00E50117" w:rsidRPr="00390B67">
        <w:t xml:space="preserve"> </w:t>
      </w:r>
      <w:r w:rsidR="00BA7B6A">
        <w:t>enable researchers to</w:t>
      </w:r>
      <w:r w:rsidR="00BA7B6A" w:rsidRPr="00390B67" w:rsidDel="00BA7B6A">
        <w:t xml:space="preserve"> </w:t>
      </w:r>
      <w:r w:rsidR="002F3FEC" w:rsidRPr="00390B67">
        <w:t>represent</w:t>
      </w:r>
      <w:r w:rsidR="00B242B0" w:rsidRPr="00390B67">
        <w:t xml:space="preserve"> </w:t>
      </w:r>
      <w:r w:rsidR="00F83603" w:rsidRPr="00390B67">
        <w:t>a</w:t>
      </w:r>
      <w:r w:rsidR="007A5FFB" w:rsidRPr="00390B67">
        <w:t xml:space="preserve"> </w:t>
      </w:r>
      <w:r w:rsidR="00B242B0" w:rsidRPr="00390B67">
        <w:t xml:space="preserve">complex </w:t>
      </w:r>
      <w:r w:rsidR="00CF3C46">
        <w:t>system</w:t>
      </w:r>
      <w:r w:rsidR="00CF3C46" w:rsidRPr="00390B67">
        <w:t xml:space="preserve"> </w:t>
      </w:r>
      <w:r w:rsidR="00C8518D" w:rsidRPr="00390B67">
        <w:t xml:space="preserve">into a square matrix </w:t>
      </w:r>
      <w:r w:rsidR="00B242B0" w:rsidRPr="00390B67">
        <w:t>by</w:t>
      </w:r>
      <w:r w:rsidR="00112EF4" w:rsidRPr="00390B67">
        <w:t xml:space="preserve"> captur</w:t>
      </w:r>
      <w:r w:rsidR="00B242B0" w:rsidRPr="00390B67">
        <w:t>ing</w:t>
      </w:r>
      <w:r w:rsidR="00CF3C46">
        <w:t xml:space="preserve"> the</w:t>
      </w:r>
      <w:r w:rsidR="00112EF4" w:rsidRPr="00390B67">
        <w:t xml:space="preserve"> </w:t>
      </w:r>
      <w:r w:rsidR="00163722" w:rsidRPr="00390B67">
        <w:t>inter</w:t>
      </w:r>
      <w:r w:rsidR="00112EF4" w:rsidRPr="00390B67">
        <w:t>dependencies between its constituent elements</w:t>
      </w:r>
      <w:r w:rsidR="000575A4" w:rsidRPr="00390B67">
        <w:t xml:space="preserve">. </w:t>
      </w:r>
      <w:r w:rsidR="00CF3C46" w:rsidRPr="00390B67">
        <w:t xml:space="preserve">DSMs have been used to </w:t>
      </w:r>
      <w:r w:rsidR="00BA7B6A">
        <w:t>illuminate</w:t>
      </w:r>
      <w:r w:rsidR="00BA7B6A" w:rsidRPr="00390B67">
        <w:t xml:space="preserve"> </w:t>
      </w:r>
      <w:r w:rsidR="00CF3C46">
        <w:t xml:space="preserve">the </w:t>
      </w:r>
      <w:r w:rsidR="00EB0BAB">
        <w:t xml:space="preserve">designs </w:t>
      </w:r>
      <w:r w:rsidR="00CF3C46">
        <w:t xml:space="preserve">of </w:t>
      </w:r>
      <w:r w:rsidR="00BA7B6A">
        <w:t xml:space="preserve">organizations and </w:t>
      </w:r>
      <w:r w:rsidR="00EB0BAB">
        <w:t xml:space="preserve">of </w:t>
      </w:r>
      <w:r w:rsidR="00BA7B6A">
        <w:t xml:space="preserve">the </w:t>
      </w:r>
      <w:r w:rsidR="00CF3C46">
        <w:t xml:space="preserve">products </w:t>
      </w:r>
      <w:r w:rsidR="00EB0BAB">
        <w:t xml:space="preserve">which </w:t>
      </w:r>
      <w:r w:rsidR="00BA7B6A">
        <w:t>the organizations produce</w:t>
      </w:r>
      <w:r w:rsidR="00CF3C46">
        <w:t xml:space="preserve"> and have </w:t>
      </w:r>
      <w:r w:rsidR="00FE65BD">
        <w:t>enabled</w:t>
      </w:r>
      <w:r w:rsidR="00CF3C46">
        <w:t xml:space="preserve"> </w:t>
      </w:r>
      <w:r w:rsidR="00E50117">
        <w:t xml:space="preserve">researchers </w:t>
      </w:r>
      <w:r w:rsidR="00CF3C46">
        <w:t>to establish relationships between organizational design</w:t>
      </w:r>
      <w:r w:rsidR="00FE65BD">
        <w:t xml:space="preserve"> and</w:t>
      </w:r>
      <w:r w:rsidR="00CF3C46">
        <w:t xml:space="preserve"> performance (Sosa et a</w:t>
      </w:r>
      <w:r w:rsidR="00FE65BD">
        <w:t>l</w:t>
      </w:r>
      <w:r w:rsidR="00CF3C46">
        <w:t xml:space="preserve">. 2004, </w:t>
      </w:r>
      <w:proofErr w:type="spellStart"/>
      <w:r w:rsidR="00CF3C46">
        <w:t>MacCormack</w:t>
      </w:r>
      <w:proofErr w:type="spellEnd"/>
      <w:r w:rsidR="00CF3C46">
        <w:t xml:space="preserve"> et al. 2012</w:t>
      </w:r>
      <w:r w:rsidR="00EB0BAB">
        <w:t xml:space="preserve">, </w:t>
      </w:r>
      <w:proofErr w:type="spellStart"/>
      <w:r w:rsidR="00EB0BAB">
        <w:t>Colfer</w:t>
      </w:r>
      <w:proofErr w:type="spellEnd"/>
      <w:r w:rsidR="00EB0BAB">
        <w:t xml:space="preserve"> and Baldwin 2016</w:t>
      </w:r>
      <w:r w:rsidR="00CF3C46">
        <w:t>).</w:t>
      </w:r>
      <w:r w:rsidR="00CF3C46" w:rsidRPr="00CF3C46">
        <w:t xml:space="preserve"> </w:t>
      </w:r>
      <w:r w:rsidR="00CF3C46">
        <w:t xml:space="preserve">The use of </w:t>
      </w:r>
      <w:r w:rsidR="00E50117">
        <w:t xml:space="preserve">the </w:t>
      </w:r>
      <w:r w:rsidR="00CF3C46">
        <w:t xml:space="preserve">DSM </w:t>
      </w:r>
      <w:r w:rsidR="00E50117">
        <w:t xml:space="preserve">methodology </w:t>
      </w:r>
      <w:r w:rsidR="00CF3C46">
        <w:t xml:space="preserve">was thus appropriate </w:t>
      </w:r>
      <w:r w:rsidR="00FE65BD">
        <w:t xml:space="preserve">to explore relationships between the organizational </w:t>
      </w:r>
      <w:r w:rsidR="00EB0BAB">
        <w:t xml:space="preserve">architecture </w:t>
      </w:r>
      <w:r w:rsidR="00FE65BD">
        <w:t xml:space="preserve">of capital-intensive projects </w:t>
      </w:r>
      <w:r w:rsidR="00D11B24">
        <w:t>and</w:t>
      </w:r>
      <w:r w:rsidR="00FE65BD">
        <w:t xml:space="preserve"> performance as we controlled for different </w:t>
      </w:r>
      <w:r w:rsidR="00D11B24">
        <w:t xml:space="preserve">product </w:t>
      </w:r>
      <w:r w:rsidR="00FE65BD">
        <w:t xml:space="preserve">architectures </w:t>
      </w:r>
      <w:r w:rsidR="00D11B24">
        <w:t>and contexts</w:t>
      </w:r>
      <w:r w:rsidR="00FE65BD">
        <w:t xml:space="preserve">.  </w:t>
      </w:r>
    </w:p>
    <w:p w14:paraId="0F66ADFB" w14:textId="0CA19189" w:rsidR="00FE65BD" w:rsidRDefault="0077661F" w:rsidP="00FE65BD">
      <w:r>
        <w:lastRenderedPageBreak/>
        <w:t>Extraordinarily</w:t>
      </w:r>
      <w:r w:rsidR="00E50117">
        <w:t xml:space="preserve">, </w:t>
      </w:r>
      <w:r w:rsidR="00CF3C46" w:rsidRPr="00390B67">
        <w:t xml:space="preserve">DSMs have </w:t>
      </w:r>
      <w:r w:rsidR="002C45A0">
        <w:t>rarely been</w:t>
      </w:r>
      <w:r w:rsidR="00CF3C46" w:rsidRPr="00390B67">
        <w:t xml:space="preserve"> used to model</w:t>
      </w:r>
      <w:r w:rsidR="00CF3C46">
        <w:t xml:space="preserve"> the structure of </w:t>
      </w:r>
      <w:r w:rsidR="00CD3EF6">
        <w:t xml:space="preserve">a </w:t>
      </w:r>
      <w:r w:rsidR="00FE65BD">
        <w:t>planning problem</w:t>
      </w:r>
      <w:r w:rsidR="00CF3C46">
        <w:t>, and thus</w:t>
      </w:r>
      <w:r w:rsidR="00CF3C46" w:rsidRPr="00390B67">
        <w:t xml:space="preserve"> we had to develop an original protocol. </w:t>
      </w:r>
      <w:r w:rsidR="00EB0BAB">
        <w:t>O</w:t>
      </w:r>
      <w:r>
        <w:t>u</w:t>
      </w:r>
      <w:r w:rsidR="00CE4401">
        <w:t>r</w:t>
      </w:r>
      <w:r w:rsidR="00CE4401" w:rsidRPr="00390B67">
        <w:t xml:space="preserve"> </w:t>
      </w:r>
      <w:r w:rsidR="00CF3C46" w:rsidRPr="00390B67">
        <w:t>aim was not</w:t>
      </w:r>
      <w:r w:rsidR="00CF3C46">
        <w:t>, however,</w:t>
      </w:r>
      <w:r w:rsidR="00CF3C46" w:rsidRPr="00390B67">
        <w:t xml:space="preserve"> to exhaustively model the</w:t>
      </w:r>
      <w:r w:rsidR="002C45A0">
        <w:t xml:space="preserve"> </w:t>
      </w:r>
      <w:r w:rsidR="00CF3C46">
        <w:t xml:space="preserve">planning </w:t>
      </w:r>
      <w:r w:rsidR="00FE65BD">
        <w:t>problem</w:t>
      </w:r>
      <w:r w:rsidR="00CF3C46">
        <w:t>. Rather</w:t>
      </w:r>
      <w:r w:rsidR="00CF3C46" w:rsidRPr="00390B67">
        <w:t xml:space="preserve"> </w:t>
      </w:r>
      <w:r w:rsidR="00E50117">
        <w:t>we sought</w:t>
      </w:r>
      <w:r w:rsidR="00CF3C46">
        <w:t xml:space="preserve"> to</w:t>
      </w:r>
      <w:r w:rsidR="00CF3C46" w:rsidRPr="00390B67">
        <w:t xml:space="preserve"> </w:t>
      </w:r>
      <w:r w:rsidR="00CF3C46">
        <w:t xml:space="preserve">explore: </w:t>
      </w:r>
      <w:proofErr w:type="spellStart"/>
      <w:r w:rsidR="00CF3C46">
        <w:t>i</w:t>
      </w:r>
      <w:proofErr w:type="spellEnd"/>
      <w:r w:rsidR="00CF3C46">
        <w:t>)</w:t>
      </w:r>
      <w:r w:rsidR="00CF3C46" w:rsidRPr="00390B67">
        <w:t xml:space="preserve"> </w:t>
      </w:r>
      <w:r w:rsidR="00CF3C46">
        <w:t xml:space="preserve">whether changes in </w:t>
      </w:r>
      <w:r w:rsidR="00FE65BD">
        <w:t xml:space="preserve">the architecture of the </w:t>
      </w:r>
      <w:r w:rsidR="00546576">
        <w:t>plann</w:t>
      </w:r>
      <w:r w:rsidR="00CE4401">
        <w:t>ing problem</w:t>
      </w:r>
      <w:r w:rsidR="00546576">
        <w:t xml:space="preserve"> and/or</w:t>
      </w:r>
      <w:r w:rsidR="00DA7729">
        <w:t xml:space="preserve"> </w:t>
      </w:r>
      <w:r w:rsidR="00546576">
        <w:t>in</w:t>
      </w:r>
      <w:r w:rsidR="00CE4401">
        <w:t xml:space="preserve"> the</w:t>
      </w:r>
      <w:r w:rsidR="00546576">
        <w:t xml:space="preserve"> </w:t>
      </w:r>
      <w:r w:rsidR="00DA7729">
        <w:t xml:space="preserve">context </w:t>
      </w:r>
      <w:r w:rsidR="00CF3C46">
        <w:t xml:space="preserve">impacted the architecture of the project organization; and ii) </w:t>
      </w:r>
      <w:r w:rsidR="00FE65BD">
        <w:t>the</w:t>
      </w:r>
      <w:r w:rsidR="00CF3C46">
        <w:t xml:space="preserve"> relationship between</w:t>
      </w:r>
      <w:r w:rsidR="00FE65BD">
        <w:t xml:space="preserve"> </w:t>
      </w:r>
      <w:r w:rsidR="00CF3C46">
        <w:t xml:space="preserve">organisational architecture and performance. </w:t>
      </w:r>
      <w:r w:rsidR="00FE65BD">
        <w:t>To build the DSMs, we used data on</w:t>
      </w:r>
      <w:r w:rsidR="002C45A0">
        <w:t xml:space="preserve"> </w:t>
      </w:r>
      <w:r w:rsidR="00CD3EF6">
        <w:t xml:space="preserve">planning </w:t>
      </w:r>
      <w:r w:rsidR="00FE65BD">
        <w:t>disputes</w:t>
      </w:r>
      <w:r w:rsidR="00DA7729">
        <w:t xml:space="preserve"> </w:t>
      </w:r>
      <w:r w:rsidR="00CD3EF6">
        <w:t>for</w:t>
      </w:r>
      <w:r w:rsidR="00DA7729">
        <w:t xml:space="preserve"> major</w:t>
      </w:r>
      <w:r>
        <w:t xml:space="preserve"> </w:t>
      </w:r>
      <w:r w:rsidR="002C45A0">
        <w:t>components such as a sport venue or a railway station</w:t>
      </w:r>
      <w:r w:rsidR="00FE65BD">
        <w:t xml:space="preserve">. </w:t>
      </w:r>
      <w:r w:rsidR="00DA7729">
        <w:t>O</w:t>
      </w:r>
      <w:r w:rsidR="002C45A0">
        <w:t>u</w:t>
      </w:r>
      <w:r w:rsidR="00FE65BD">
        <w:t>r database consists of 35 disputes</w:t>
      </w:r>
      <w:r w:rsidR="00CD3EF6">
        <w:t xml:space="preserve"> </w:t>
      </w:r>
      <w:r w:rsidR="00CE4401">
        <w:t xml:space="preserve">which </w:t>
      </w:r>
      <w:r w:rsidR="00CD3EF6">
        <w:t>the</w:t>
      </w:r>
      <w:r w:rsidR="00FE65BD">
        <w:t xml:space="preserve"> respondents</w:t>
      </w:r>
      <w:r w:rsidR="00CE4401">
        <w:t xml:space="preserve"> </w:t>
      </w:r>
      <w:r w:rsidR="00EB0BAB">
        <w:t xml:space="preserve">told us to </w:t>
      </w:r>
      <w:r w:rsidR="00FE65BD">
        <w:t>illustrat</w:t>
      </w:r>
      <w:r>
        <w:t>e well</w:t>
      </w:r>
      <w:r w:rsidR="00CE4401">
        <w:t xml:space="preserve"> </w:t>
      </w:r>
      <w:r w:rsidR="00FE65BD">
        <w:t xml:space="preserve">the </w:t>
      </w:r>
      <w:r w:rsidR="00CD3EF6">
        <w:t>focal</w:t>
      </w:r>
      <w:r w:rsidR="002C45A0">
        <w:t xml:space="preserve"> </w:t>
      </w:r>
      <w:r w:rsidR="00CE4401">
        <w:t xml:space="preserve">planning </w:t>
      </w:r>
      <w:r w:rsidR="00FE65BD">
        <w:t>problem</w:t>
      </w:r>
      <w:r w:rsidR="00D11B24">
        <w:t>s</w:t>
      </w:r>
      <w:r w:rsidR="00FE65BD">
        <w:t xml:space="preserve">. </w:t>
      </w:r>
      <w:r w:rsidR="00E50117">
        <w:t>We then</w:t>
      </w:r>
      <w:r w:rsidR="00DA7729">
        <w:t xml:space="preserve"> </w:t>
      </w:r>
      <w:r w:rsidR="00FE65BD">
        <w:t>model</w:t>
      </w:r>
      <w:r w:rsidR="00DA7729">
        <w:t>led the</w:t>
      </w:r>
      <w:r w:rsidR="00CD3EF6">
        <w:t xml:space="preserve"> planning problem </w:t>
      </w:r>
      <w:r w:rsidR="00FE65BD">
        <w:t xml:space="preserve">by capturing </w:t>
      </w:r>
      <w:r w:rsidR="00801627">
        <w:t xml:space="preserve">the interdependencies between </w:t>
      </w:r>
      <w:r w:rsidR="00DA7729">
        <w:t>five</w:t>
      </w:r>
      <w:r w:rsidR="00FE65BD">
        <w:t xml:space="preserve"> constituent elements</w:t>
      </w:r>
      <w:r w:rsidR="00EB0BAB">
        <w:t xml:space="preserve"> of planning choices</w:t>
      </w:r>
      <w:r w:rsidR="00FE65BD">
        <w:t xml:space="preserve">: </w:t>
      </w:r>
      <w:proofErr w:type="spellStart"/>
      <w:r w:rsidR="00DA7729">
        <w:t>i</w:t>
      </w:r>
      <w:proofErr w:type="spellEnd"/>
      <w:r w:rsidR="00DA7729">
        <w:t>) local goal</w:t>
      </w:r>
      <w:r w:rsidR="00985001">
        <w:t xml:space="preserve"> (affects interests)</w:t>
      </w:r>
      <w:r w:rsidR="00DA7729">
        <w:t xml:space="preserve">; </w:t>
      </w:r>
      <w:r w:rsidR="00FE65BD">
        <w:t>i</w:t>
      </w:r>
      <w:r w:rsidR="00DA7729">
        <w:t>i</w:t>
      </w:r>
      <w:r w:rsidR="00FE65BD">
        <w:t>) cost forecast</w:t>
      </w:r>
      <w:r w:rsidR="00985001">
        <w:t xml:space="preserve"> (affects budget)</w:t>
      </w:r>
      <w:r w:rsidR="00FE65BD">
        <w:t>;</w:t>
      </w:r>
      <w:r w:rsidR="00FE65BD" w:rsidRPr="00390B67">
        <w:t xml:space="preserve"> </w:t>
      </w:r>
      <w:r w:rsidR="00FE65BD">
        <w:t>ii</w:t>
      </w:r>
      <w:r w:rsidR="00DA7729">
        <w:t>i</w:t>
      </w:r>
      <w:r w:rsidR="00FE65BD">
        <w:t>)</w:t>
      </w:r>
      <w:r w:rsidR="003D5D50">
        <w:t xml:space="preserve"> </w:t>
      </w:r>
      <w:r w:rsidR="00FE65BD" w:rsidRPr="00390B67">
        <w:t xml:space="preserve">capacity </w:t>
      </w:r>
      <w:r w:rsidR="00DA7729">
        <w:t>(affects viability in use)</w:t>
      </w:r>
      <w:r w:rsidR="00FE65BD">
        <w:t>;</w:t>
      </w:r>
      <w:r w:rsidR="00FE65BD" w:rsidRPr="00390B67">
        <w:t xml:space="preserve"> </w:t>
      </w:r>
      <w:proofErr w:type="gramStart"/>
      <w:r w:rsidR="00FE65BD">
        <w:t>i</w:t>
      </w:r>
      <w:r w:rsidR="00DA7729">
        <w:t>v)</w:t>
      </w:r>
      <w:r w:rsidR="00EB0BAB">
        <w:t xml:space="preserve"> </w:t>
      </w:r>
      <w:r w:rsidR="00CD3EF6">
        <w:t>footprint</w:t>
      </w:r>
      <w:proofErr w:type="gramEnd"/>
      <w:r w:rsidR="00CD3EF6">
        <w:t xml:space="preserve"> </w:t>
      </w:r>
      <w:r w:rsidR="00DA7729">
        <w:t xml:space="preserve">(affects </w:t>
      </w:r>
      <w:r w:rsidR="003D5D50">
        <w:t xml:space="preserve">land </w:t>
      </w:r>
      <w:r w:rsidR="00E50117">
        <w:t>acquisition</w:t>
      </w:r>
      <w:r w:rsidR="00DA7729">
        <w:t>)</w:t>
      </w:r>
      <w:r w:rsidR="003D5D50">
        <w:t xml:space="preserve">; </w:t>
      </w:r>
      <w:r w:rsidR="00FE65BD" w:rsidRPr="00390B67">
        <w:t>and</w:t>
      </w:r>
      <w:r w:rsidR="00DA7729">
        <w:t xml:space="preserve"> </w:t>
      </w:r>
      <w:r w:rsidR="00FE65BD">
        <w:t>v)</w:t>
      </w:r>
      <w:r w:rsidR="003D5D50">
        <w:t xml:space="preserve"> any </w:t>
      </w:r>
      <w:r w:rsidR="00FE65BD">
        <w:t>controversial</w:t>
      </w:r>
      <w:r w:rsidR="00FE65BD" w:rsidRPr="00390B67">
        <w:t xml:space="preserve"> sub-element</w:t>
      </w:r>
      <w:r w:rsidR="00FE65BD">
        <w:t xml:space="preserve">. In addition, </w:t>
      </w:r>
      <w:r w:rsidR="00D11B24">
        <w:t>we also sought to establish</w:t>
      </w:r>
      <w:r w:rsidR="00FE65BD">
        <w:t xml:space="preserve"> which actors</w:t>
      </w:r>
      <w:r w:rsidR="003100DF">
        <w:t xml:space="preserve"> </w:t>
      </w:r>
      <w:r w:rsidR="00FE65BD">
        <w:t xml:space="preserve">shared </w:t>
      </w:r>
      <w:r w:rsidR="003100DF">
        <w:t xml:space="preserve">decisions </w:t>
      </w:r>
      <w:r w:rsidR="00FE65BD">
        <w:t>rights to</w:t>
      </w:r>
      <w:r w:rsidR="003D5D50">
        <w:t xml:space="preserve"> directly</w:t>
      </w:r>
      <w:r w:rsidR="00FE65BD">
        <w:t xml:space="preserve"> influence which </w:t>
      </w:r>
      <w:r w:rsidR="003100DF">
        <w:t xml:space="preserve">constituent elements of the </w:t>
      </w:r>
      <w:r w:rsidR="00CE4401">
        <w:t xml:space="preserve">planning </w:t>
      </w:r>
      <w:r w:rsidR="003100DF">
        <w:t>choices</w:t>
      </w:r>
      <w:r w:rsidR="00FE65BD">
        <w:t xml:space="preserve">. </w:t>
      </w:r>
      <w:r w:rsidR="003D5D50">
        <w:t>Hence,</w:t>
      </w:r>
      <w:r w:rsidR="00FE65BD">
        <w:t xml:space="preserve"> </w:t>
      </w:r>
      <w:r w:rsidR="00FE65BD" w:rsidRPr="00390B67">
        <w:t xml:space="preserve">for each DSM, we produced a </w:t>
      </w:r>
      <w:r w:rsidR="00546576">
        <w:t>companion matrix that reveals the</w:t>
      </w:r>
      <w:r w:rsidR="00FE65BD" w:rsidRPr="00390B67">
        <w:t xml:space="preserve"> </w:t>
      </w:r>
      <w:r w:rsidR="00FE65BD">
        <w:t>membership of the</w:t>
      </w:r>
      <w:r w:rsidR="00FE65BD" w:rsidRPr="00390B67">
        <w:t xml:space="preserve"> decision-making forums. </w:t>
      </w:r>
    </w:p>
    <w:p w14:paraId="03BCF7E1" w14:textId="0C056257" w:rsidR="00250ACB" w:rsidRPr="00390B67" w:rsidRDefault="00F2599E" w:rsidP="00665133">
      <w:r w:rsidRPr="00390B67">
        <w:t>The</w:t>
      </w:r>
      <w:r w:rsidR="00A92E2F" w:rsidRPr="00390B67">
        <w:t xml:space="preserve"> </w:t>
      </w:r>
      <w:r w:rsidR="00D45C98">
        <w:t xml:space="preserve">DSM </w:t>
      </w:r>
      <w:r w:rsidR="00E07334" w:rsidRPr="00390B67">
        <w:t>analys</w:t>
      </w:r>
      <w:r w:rsidR="003B402A">
        <w:t xml:space="preserve">is </w:t>
      </w:r>
      <w:r w:rsidR="00250ACB" w:rsidRPr="00390B67">
        <w:t>reveal</w:t>
      </w:r>
      <w:r w:rsidR="00985001">
        <w:t>ed</w:t>
      </w:r>
      <w:r w:rsidR="00250ACB" w:rsidRPr="00390B67">
        <w:t xml:space="preserve"> a critical</w:t>
      </w:r>
      <w:r w:rsidRPr="00390B67">
        <w:t xml:space="preserve"> regularity:</w:t>
      </w:r>
      <w:r w:rsidR="003E60BA" w:rsidRPr="00390B67">
        <w:t xml:space="preserve"> </w:t>
      </w:r>
      <w:r w:rsidR="008F2C94" w:rsidRPr="00390B67">
        <w:t>the</w:t>
      </w:r>
      <w:r w:rsidR="00854B1F" w:rsidRPr="00390B67">
        <w:t xml:space="preserve"> </w:t>
      </w:r>
      <w:r w:rsidR="00715376" w:rsidRPr="00390B67">
        <w:t xml:space="preserve">creation </w:t>
      </w:r>
      <w:r w:rsidR="00854B1F" w:rsidRPr="00390B67">
        <w:t>of</w:t>
      </w:r>
      <w:r w:rsidR="005D2AE1" w:rsidRPr="00390B67">
        <w:t xml:space="preserve"> </w:t>
      </w:r>
      <w:r w:rsidR="00546576">
        <w:t xml:space="preserve">project-based </w:t>
      </w:r>
      <w:r w:rsidR="00854B1F" w:rsidRPr="00390B67">
        <w:t xml:space="preserve">polycentric </w:t>
      </w:r>
      <w:r w:rsidR="003F6E06">
        <w:t>organization</w:t>
      </w:r>
      <w:r w:rsidR="00546576">
        <w:t xml:space="preserve">s </w:t>
      </w:r>
      <w:r w:rsidR="00D45C98" w:rsidRPr="00390B67">
        <w:t xml:space="preserve">across </w:t>
      </w:r>
      <w:r w:rsidR="00D45C98" w:rsidRPr="00665133">
        <w:rPr>
          <w:i/>
        </w:rPr>
        <w:t xml:space="preserve">all </w:t>
      </w:r>
      <w:r w:rsidR="00D45C98" w:rsidRPr="00390B67">
        <w:t>cases</w:t>
      </w:r>
      <w:r w:rsidR="00A8248D" w:rsidRPr="00390B67">
        <w:t>.</w:t>
      </w:r>
      <w:r w:rsidR="000D4282">
        <w:t xml:space="preserve"> </w:t>
      </w:r>
      <w:r w:rsidR="00E77492">
        <w:t>Furthermore, the DSM</w:t>
      </w:r>
      <w:r w:rsidR="00B370FE" w:rsidRPr="00390B67">
        <w:t xml:space="preserve"> </w:t>
      </w:r>
      <w:r w:rsidR="00985001" w:rsidRPr="00390B67">
        <w:t>analys</w:t>
      </w:r>
      <w:r w:rsidR="00985001">
        <w:t>is</w:t>
      </w:r>
      <w:r w:rsidR="00546576">
        <w:t xml:space="preserve"> </w:t>
      </w:r>
      <w:r w:rsidR="000D4282">
        <w:t xml:space="preserve">revealed variance in the </w:t>
      </w:r>
      <w:r w:rsidR="00D11B24">
        <w:t xml:space="preserve">extent </w:t>
      </w:r>
      <w:r w:rsidR="00E77492">
        <w:t>to which a</w:t>
      </w:r>
      <w:r w:rsidR="00801627">
        <w:t>n umpire</w:t>
      </w:r>
      <w:r w:rsidR="00E77492">
        <w:t>,</w:t>
      </w:r>
      <w:r w:rsidR="000D4282">
        <w:t xml:space="preserve"> external to the project</w:t>
      </w:r>
      <w:r w:rsidR="00D45C98">
        <w:t xml:space="preserve"> organization</w:t>
      </w:r>
      <w:r w:rsidR="00E77492">
        <w:t>,</w:t>
      </w:r>
      <w:r w:rsidR="00AE2612">
        <w:t xml:space="preserve"> </w:t>
      </w:r>
      <w:r w:rsidR="00E77492">
        <w:t xml:space="preserve">was </w:t>
      </w:r>
      <w:r w:rsidR="00E50117">
        <w:t>employed</w:t>
      </w:r>
      <w:r w:rsidR="00E77492">
        <w:t xml:space="preserve"> to settle </w:t>
      </w:r>
      <w:r w:rsidR="00D45C98">
        <w:t xml:space="preserve">disputes </w:t>
      </w:r>
      <w:r w:rsidR="00E77492">
        <w:t xml:space="preserve">that </w:t>
      </w:r>
      <w:r w:rsidR="00AE2612">
        <w:t>the disputants</w:t>
      </w:r>
      <w:r w:rsidR="00E77492">
        <w:t xml:space="preserve"> alone failed to resolve</w:t>
      </w:r>
      <w:r w:rsidR="000D4282">
        <w:t xml:space="preserve">. </w:t>
      </w:r>
      <w:r w:rsidR="00AE2612">
        <w:t>The DSM analysis</w:t>
      </w:r>
      <w:r w:rsidR="0077661F">
        <w:t xml:space="preserve"> per se</w:t>
      </w:r>
      <w:r w:rsidR="00AE2612">
        <w:t xml:space="preserve"> could not, however, </w:t>
      </w:r>
      <w:r w:rsidR="00E50117">
        <w:t xml:space="preserve">reveal </w:t>
      </w:r>
      <w:r w:rsidR="00AE2612">
        <w:t>the</w:t>
      </w:r>
      <w:r w:rsidR="005D6BB6">
        <w:t xml:space="preserve"> </w:t>
      </w:r>
      <w:r w:rsidR="00AE2612">
        <w:t xml:space="preserve">impact of the disputes </w:t>
      </w:r>
      <w:r w:rsidR="00E50117">
        <w:t>on</w:t>
      </w:r>
      <w:r w:rsidR="005D6BB6">
        <w:t xml:space="preserve"> </w:t>
      </w:r>
      <w:r w:rsidR="00AE2612">
        <w:t>performance</w:t>
      </w:r>
      <w:r w:rsidR="0077661F">
        <w:t xml:space="preserve"> targets</w:t>
      </w:r>
      <w:r w:rsidR="00AE2612">
        <w:t xml:space="preserve">. </w:t>
      </w:r>
      <w:r w:rsidR="0077661F">
        <w:t>As we</w:t>
      </w:r>
      <w:r w:rsidR="00EB0BAB">
        <w:t xml:space="preserve"> sifted through the data to</w:t>
      </w:r>
      <w:r w:rsidR="0077661F" w:rsidRPr="00390B67">
        <w:t xml:space="preserve"> </w:t>
      </w:r>
      <w:r w:rsidR="0077661F">
        <w:t>investigate this issue</w:t>
      </w:r>
      <w:r w:rsidR="00EB0BAB">
        <w:t>,</w:t>
      </w:r>
      <w:r w:rsidR="008F2C94" w:rsidRPr="00390B67">
        <w:t xml:space="preserve"> </w:t>
      </w:r>
      <w:r w:rsidR="00854B1F" w:rsidRPr="00390B67">
        <w:t xml:space="preserve">we </w:t>
      </w:r>
      <w:r w:rsidR="005D6BB6">
        <w:t xml:space="preserve">uncovered </w:t>
      </w:r>
      <w:r w:rsidR="003B402A">
        <w:t xml:space="preserve">a second source of variance—the </w:t>
      </w:r>
      <w:r w:rsidR="00FE65BD">
        <w:t xml:space="preserve">amount </w:t>
      </w:r>
      <w:r w:rsidR="00E50117">
        <w:t xml:space="preserve">and use </w:t>
      </w:r>
      <w:r w:rsidR="003B402A">
        <w:t xml:space="preserve">of </w:t>
      </w:r>
      <w:r w:rsidR="00D45C98">
        <w:t xml:space="preserve">contingency funds </w:t>
      </w:r>
      <w:r w:rsidR="00E50117">
        <w:t>by</w:t>
      </w:r>
      <w:r w:rsidR="00D45C98">
        <w:t xml:space="preserve"> </w:t>
      </w:r>
      <w:r w:rsidR="003B402A">
        <w:t xml:space="preserve">the promoter to </w:t>
      </w:r>
      <w:r w:rsidR="00D45C98">
        <w:t xml:space="preserve">attenuate the public impact </w:t>
      </w:r>
      <w:r w:rsidR="00E77492">
        <w:t xml:space="preserve">of </w:t>
      </w:r>
      <w:r w:rsidR="00D45C98">
        <w:t>cost overruns</w:t>
      </w:r>
      <w:r w:rsidR="003B402A">
        <w:t xml:space="preserve">. This variance </w:t>
      </w:r>
      <w:r w:rsidR="005D6BB6">
        <w:t>mattered</w:t>
      </w:r>
      <w:r w:rsidR="003B402A">
        <w:t xml:space="preserve"> because it </w:t>
      </w:r>
      <w:r w:rsidR="00D45C98">
        <w:t>radically</w:t>
      </w:r>
      <w:r w:rsidR="00E50117">
        <w:t xml:space="preserve"> altered</w:t>
      </w:r>
      <w:r w:rsidR="003B402A">
        <w:t xml:space="preserve"> the interdependency between the project</w:t>
      </w:r>
      <w:r w:rsidR="00D45C98">
        <w:t xml:space="preserve"> organization</w:t>
      </w:r>
      <w:r w:rsidR="003B402A">
        <w:t xml:space="preserve"> and the environment.</w:t>
      </w:r>
      <w:r w:rsidR="00D45C98">
        <w:t xml:space="preserve"> </w:t>
      </w:r>
      <w:r w:rsidR="003B402A">
        <w:t xml:space="preserve">As we iterated </w:t>
      </w:r>
      <w:r w:rsidR="000B0894" w:rsidRPr="00390B67">
        <w:t>between</w:t>
      </w:r>
      <w:r w:rsidR="003B402A">
        <w:t xml:space="preserve"> the findings </w:t>
      </w:r>
      <w:r w:rsidR="000B0894" w:rsidRPr="00390B67">
        <w:t>and theory</w:t>
      </w:r>
      <w:r w:rsidR="003B402A">
        <w:t xml:space="preserve"> development</w:t>
      </w:r>
      <w:r w:rsidR="00510F3E" w:rsidRPr="00390B67">
        <w:t xml:space="preserve"> (Miles and </w:t>
      </w:r>
      <w:r w:rsidR="00510F3E" w:rsidRPr="00390B67">
        <w:lastRenderedPageBreak/>
        <w:t>Huberman 1994)</w:t>
      </w:r>
      <w:r w:rsidR="00FB7369" w:rsidRPr="00390B67">
        <w:t>,</w:t>
      </w:r>
      <w:r w:rsidR="002F0101" w:rsidRPr="00390B67">
        <w:t xml:space="preserve"> a contingency </w:t>
      </w:r>
      <w:r w:rsidR="003B402A">
        <w:t xml:space="preserve">relationship between </w:t>
      </w:r>
      <w:r w:rsidR="00FE65BD">
        <w:t>organizational</w:t>
      </w:r>
      <w:r w:rsidR="003B402A">
        <w:t xml:space="preserve"> design and </w:t>
      </w:r>
      <w:r w:rsidR="002F0101" w:rsidRPr="00390B67">
        <w:t>performance</w:t>
      </w:r>
      <w:r w:rsidR="003B402A">
        <w:t xml:space="preserve"> </w:t>
      </w:r>
      <w:r w:rsidR="002F0101" w:rsidRPr="00390B67">
        <w:t>emerge</w:t>
      </w:r>
      <w:r w:rsidR="00D45C98">
        <w:t>d</w:t>
      </w:r>
      <w:r w:rsidR="003932DA" w:rsidRPr="00390B67">
        <w:t xml:space="preserve">. </w:t>
      </w:r>
      <w:r w:rsidR="00F612E8" w:rsidRPr="00390B67">
        <w:t>We</w:t>
      </w:r>
      <w:r w:rsidR="0010695A" w:rsidRPr="00390B67">
        <w:t xml:space="preserve"> </w:t>
      </w:r>
      <w:r w:rsidR="00826F57" w:rsidRPr="00390B67">
        <w:t>stopped iterating when</w:t>
      </w:r>
      <w:r w:rsidR="00C0289E" w:rsidRPr="00390B67">
        <w:t xml:space="preserve"> we reached</w:t>
      </w:r>
      <w:r w:rsidR="00826F57" w:rsidRPr="00390B67">
        <w:t xml:space="preserve"> </w:t>
      </w:r>
      <w:r w:rsidR="00231BE6" w:rsidRPr="00390B67">
        <w:t>theoretical saturation</w:t>
      </w:r>
      <w:r w:rsidR="0063144D" w:rsidRPr="00390B67">
        <w:t xml:space="preserve">. </w:t>
      </w:r>
    </w:p>
    <w:p w14:paraId="4C7FC9BA" w14:textId="15B33210" w:rsidR="007E16DC" w:rsidRPr="00390B67" w:rsidRDefault="003B5397" w:rsidP="005A69DD">
      <w:pPr>
        <w:pStyle w:val="Heading1"/>
      </w:pPr>
      <w:r w:rsidRPr="00390B67">
        <w:t>ANALYSIS</w:t>
      </w:r>
      <w:r w:rsidR="00042413" w:rsidRPr="00390B67">
        <w:t xml:space="preserve">  </w:t>
      </w:r>
    </w:p>
    <w:p w14:paraId="3949EB58" w14:textId="459A6D1C" w:rsidR="00404B7A" w:rsidRPr="00B31573" w:rsidRDefault="005F3592" w:rsidP="00BF3E49">
      <w:pPr>
        <w:ind w:firstLine="432"/>
        <w:rPr>
          <w:rStyle w:val="Strong"/>
        </w:rPr>
      </w:pPr>
      <w:r w:rsidRPr="00390B67">
        <w:t>We</w:t>
      </w:r>
      <w:r w:rsidR="00F72CA6" w:rsidRPr="00390B67">
        <w:t xml:space="preserve"> organise the</w:t>
      </w:r>
      <w:r w:rsidRPr="00390B67">
        <w:t xml:space="preserve"> analysis</w:t>
      </w:r>
      <w:r w:rsidR="00F72CA6" w:rsidRPr="00390B67">
        <w:t xml:space="preserve"> by</w:t>
      </w:r>
      <w:r w:rsidRPr="00390B67">
        <w:t xml:space="preserve"> </w:t>
      </w:r>
      <w:r w:rsidR="00984EBF" w:rsidRPr="00390B67">
        <w:t xml:space="preserve">first </w:t>
      </w:r>
      <w:r w:rsidR="00911CB0">
        <w:t>showing how the DSM analysis</w:t>
      </w:r>
      <w:r w:rsidR="00493CD9">
        <w:t xml:space="preserve"> systematically revealed </w:t>
      </w:r>
      <w:r w:rsidR="00911CB0">
        <w:t>a distribution of</w:t>
      </w:r>
      <w:r w:rsidR="00FE65BD">
        <w:t xml:space="preserve"> decision rights </w:t>
      </w:r>
      <w:r w:rsidR="00911CB0">
        <w:t>characteristic of</w:t>
      </w:r>
      <w:r w:rsidR="00F217A9" w:rsidRPr="00B31573">
        <w:t xml:space="preserve"> </w:t>
      </w:r>
      <w:r w:rsidR="00FE65BD">
        <w:t xml:space="preserve">polycentric architectures. </w:t>
      </w:r>
      <w:r w:rsidR="001C0456" w:rsidRPr="00B31573">
        <w:t>We then</w:t>
      </w:r>
      <w:r w:rsidR="0010695A" w:rsidRPr="00B31573">
        <w:t xml:space="preserve"> </w:t>
      </w:r>
      <w:r w:rsidR="008F2C94" w:rsidRPr="00B31573">
        <w:t xml:space="preserve">examine </w:t>
      </w:r>
      <w:r w:rsidR="00FE65BD">
        <w:t>variance in the</w:t>
      </w:r>
      <w:r w:rsidR="00911CB0">
        <w:t xml:space="preserve"> </w:t>
      </w:r>
      <w:r w:rsidR="00FE65BD">
        <w:t>structure</w:t>
      </w:r>
      <w:r w:rsidR="00546576">
        <w:t>s</w:t>
      </w:r>
      <w:r w:rsidR="00FE65BD">
        <w:t xml:space="preserve"> surrounding </w:t>
      </w:r>
      <w:r w:rsidR="00502E03" w:rsidRPr="00B31573">
        <w:t>dispute</w:t>
      </w:r>
      <w:r w:rsidR="00FE65BD">
        <w:t xml:space="preserve"> </w:t>
      </w:r>
      <w:r w:rsidR="00911CB0">
        <w:t>resolution</w:t>
      </w:r>
      <w:r w:rsidR="00FE65BD">
        <w:t xml:space="preserve"> and</w:t>
      </w:r>
      <w:r w:rsidR="00911CB0">
        <w:t xml:space="preserve"> performance</w:t>
      </w:r>
      <w:r w:rsidR="00FE65BD">
        <w:t xml:space="preserve"> implications.</w:t>
      </w:r>
      <w:r w:rsidR="00165B55" w:rsidRPr="00B31573">
        <w:t xml:space="preserve"> </w:t>
      </w:r>
    </w:p>
    <w:p w14:paraId="73ECD4B5" w14:textId="6585BD5B" w:rsidR="008625F2" w:rsidRPr="00847527" w:rsidRDefault="00434CBE" w:rsidP="00847527">
      <w:pPr>
        <w:pStyle w:val="Heading2"/>
        <w:numPr>
          <w:ilvl w:val="1"/>
          <w:numId w:val="9"/>
        </w:numPr>
        <w:spacing w:line="480" w:lineRule="auto"/>
        <w:rPr>
          <w:rStyle w:val="Strong"/>
          <w:b w:val="0"/>
          <w:i/>
        </w:rPr>
      </w:pPr>
      <w:r>
        <w:rPr>
          <w:rStyle w:val="Strong"/>
        </w:rPr>
        <w:t xml:space="preserve"> </w:t>
      </w:r>
      <w:r w:rsidR="008625F2" w:rsidRPr="00847527">
        <w:rPr>
          <w:rStyle w:val="Strong"/>
          <w:b w:val="0"/>
          <w:i/>
        </w:rPr>
        <w:t>The</w:t>
      </w:r>
      <w:r w:rsidR="00E02E70" w:rsidRPr="00847527">
        <w:rPr>
          <w:rStyle w:val="Strong"/>
          <w:b w:val="0"/>
          <w:i/>
        </w:rPr>
        <w:t xml:space="preserve"> </w:t>
      </w:r>
      <w:r w:rsidR="008625F2" w:rsidRPr="00847527">
        <w:rPr>
          <w:rStyle w:val="Strong"/>
          <w:b w:val="0"/>
          <w:i/>
        </w:rPr>
        <w:t xml:space="preserve">Polycentric </w:t>
      </w:r>
      <w:r w:rsidR="00911CB0">
        <w:rPr>
          <w:rStyle w:val="Strong"/>
          <w:b w:val="0"/>
          <w:i/>
        </w:rPr>
        <w:t>Architecture of the Project Organization</w:t>
      </w:r>
      <w:r w:rsidR="00546576">
        <w:rPr>
          <w:rStyle w:val="Strong"/>
          <w:b w:val="0"/>
          <w:i/>
        </w:rPr>
        <w:t xml:space="preserve"> in the Planning Stage</w:t>
      </w:r>
      <w:r w:rsidR="00911CB0">
        <w:rPr>
          <w:rStyle w:val="Strong"/>
          <w:b w:val="0"/>
          <w:i/>
        </w:rPr>
        <w:t xml:space="preserve"> </w:t>
      </w:r>
    </w:p>
    <w:p w14:paraId="43713876" w14:textId="7417335B" w:rsidR="00487B27" w:rsidRPr="00390B67" w:rsidRDefault="004F1E04" w:rsidP="00AC4A31">
      <w:r w:rsidRPr="00B31573">
        <w:t xml:space="preserve">We have previously noted that </w:t>
      </w:r>
      <w:r w:rsidR="0024441A">
        <w:t xml:space="preserve">a </w:t>
      </w:r>
      <w:r w:rsidRPr="00B31573">
        <w:t>p</w:t>
      </w:r>
      <w:r w:rsidR="00414C3C" w:rsidRPr="00B31573">
        <w:t>olycentri</w:t>
      </w:r>
      <w:r w:rsidR="00434137" w:rsidRPr="00B31573">
        <w:t xml:space="preserve">c </w:t>
      </w:r>
      <w:r w:rsidR="00911CB0">
        <w:t xml:space="preserve">architecture </w:t>
      </w:r>
      <w:r w:rsidR="0024441A">
        <w:t xml:space="preserve">is </w:t>
      </w:r>
      <w:r w:rsidR="00D64C9B" w:rsidRPr="00B31573">
        <w:t>an</w:t>
      </w:r>
      <w:r w:rsidR="00421C24" w:rsidRPr="00B31573">
        <w:t xml:space="preserve"> </w:t>
      </w:r>
      <w:r w:rsidR="00421C24" w:rsidRPr="00390B67">
        <w:t>intuitive</w:t>
      </w:r>
      <w:r w:rsidR="00D64C9B" w:rsidRPr="00390B67">
        <w:t xml:space="preserve"> </w:t>
      </w:r>
      <w:r w:rsidR="00B63CAE">
        <w:t xml:space="preserve">design </w:t>
      </w:r>
      <w:r w:rsidR="00D64C9B" w:rsidRPr="00390B67">
        <w:t xml:space="preserve">approach to </w:t>
      </w:r>
      <w:r w:rsidR="0024441A">
        <w:t>attenuate the complexity of</w:t>
      </w:r>
      <w:r w:rsidR="0024441A" w:rsidRPr="00390B67">
        <w:t xml:space="preserve"> </w:t>
      </w:r>
      <w:r w:rsidR="0024441A">
        <w:t>managing a pluralistic setting</w:t>
      </w:r>
      <w:r w:rsidR="00911CB0" w:rsidRPr="00911CB0">
        <w:t xml:space="preserve"> </w:t>
      </w:r>
      <w:r w:rsidR="00546576">
        <w:t>(</w:t>
      </w:r>
      <w:proofErr w:type="spellStart"/>
      <w:r w:rsidR="00546576">
        <w:t>Ostrom</w:t>
      </w:r>
      <w:proofErr w:type="spellEnd"/>
      <w:r w:rsidR="00546576">
        <w:t xml:space="preserve"> </w:t>
      </w:r>
      <w:r w:rsidR="009B3A87">
        <w:t>2010</w:t>
      </w:r>
      <w:r w:rsidR="00546576" w:rsidRPr="00390B67">
        <w:t>).</w:t>
      </w:r>
      <w:r w:rsidR="006E4616" w:rsidRPr="00390B67">
        <w:t xml:space="preserve"> </w:t>
      </w:r>
      <w:r w:rsidR="00DC4784" w:rsidRPr="00390B67">
        <w:t>The basic</w:t>
      </w:r>
      <w:r w:rsidR="00CE7403" w:rsidRPr="00390B67">
        <w:t xml:space="preserve"> logic </w:t>
      </w:r>
      <w:r w:rsidR="00911CB0">
        <w:t>consists of</w:t>
      </w:r>
      <w:r w:rsidR="00CE7403" w:rsidRPr="00390B67">
        <w:t xml:space="preserve"> </w:t>
      </w:r>
      <w:r w:rsidR="00911CB0">
        <w:t xml:space="preserve">decomposing the organization into a </w:t>
      </w:r>
      <w:r w:rsidR="00613AFA" w:rsidRPr="00390B67">
        <w:t>nested structure</w:t>
      </w:r>
      <w:r w:rsidR="00CE7403" w:rsidRPr="00390B67">
        <w:t xml:space="preserve"> of </w:t>
      </w:r>
      <w:r w:rsidR="00911CB0">
        <w:t xml:space="preserve">decision-making </w:t>
      </w:r>
      <w:r w:rsidR="00165B55" w:rsidRPr="00390B67">
        <w:t xml:space="preserve">groups with </w:t>
      </w:r>
      <w:r w:rsidR="00911CB0">
        <w:t xml:space="preserve">restricted </w:t>
      </w:r>
      <w:r w:rsidR="00165B55" w:rsidRPr="00390B67">
        <w:t>authority. Within this</w:t>
      </w:r>
      <w:r w:rsidR="00493CD9">
        <w:t xml:space="preserve"> </w:t>
      </w:r>
      <w:r w:rsidR="00911CB0">
        <w:t>architecture</w:t>
      </w:r>
      <w:r w:rsidR="009B3A87">
        <w:t>,</w:t>
      </w:r>
      <w:r w:rsidR="00911CB0">
        <w:t xml:space="preserve"> </w:t>
      </w:r>
      <w:r w:rsidR="00546576">
        <w:t xml:space="preserve">the high-level authorities retain centralised control over system-wide choices, but </w:t>
      </w:r>
      <w:r w:rsidR="00911CB0">
        <w:t>share</w:t>
      </w:r>
      <w:r w:rsidR="00165B55" w:rsidRPr="00390B67">
        <w:t xml:space="preserve"> </w:t>
      </w:r>
      <w:r w:rsidR="00911CB0" w:rsidRPr="00390B67">
        <w:t>decision rights</w:t>
      </w:r>
      <w:r w:rsidR="008864B3">
        <w:t xml:space="preserve"> </w:t>
      </w:r>
      <w:r w:rsidR="009B3A87">
        <w:t xml:space="preserve">over </w:t>
      </w:r>
      <w:r w:rsidR="008864B3">
        <w:t>local choices</w:t>
      </w:r>
      <w:r w:rsidR="00911CB0">
        <w:t xml:space="preserve"> with </w:t>
      </w:r>
      <w:r w:rsidR="009B3A87">
        <w:t xml:space="preserve">different </w:t>
      </w:r>
      <w:r w:rsidR="0024441A">
        <w:t xml:space="preserve">groups of </w:t>
      </w:r>
      <w:r w:rsidR="00AE2011" w:rsidRPr="00390B67">
        <w:t xml:space="preserve">local </w:t>
      </w:r>
      <w:r w:rsidR="00D51D45" w:rsidRPr="00390B67">
        <w:t>actors</w:t>
      </w:r>
      <w:r w:rsidR="008864B3">
        <w:t>. As</w:t>
      </w:r>
      <w:r w:rsidR="00546576">
        <w:t xml:space="preserve"> local </w:t>
      </w:r>
      <w:r w:rsidR="00911CB0">
        <w:t>disputes</w:t>
      </w:r>
      <w:r w:rsidR="008864B3">
        <w:t xml:space="preserve"> emerge</w:t>
      </w:r>
      <w:r w:rsidR="00546576">
        <w:t xml:space="preserve">, the authorities </w:t>
      </w:r>
      <w:r w:rsidR="00CD0F04">
        <w:t>may</w:t>
      </w:r>
      <w:r w:rsidR="00493CD9" w:rsidRPr="00493CD9">
        <w:t xml:space="preserve"> </w:t>
      </w:r>
      <w:r w:rsidR="00493CD9">
        <w:t>have,</w:t>
      </w:r>
      <w:r w:rsidR="00546576">
        <w:t xml:space="preserve"> </w:t>
      </w:r>
      <w:r w:rsidR="00493CD9">
        <w:t>de jure, power to</w:t>
      </w:r>
      <w:r w:rsidR="00546576">
        <w:t xml:space="preserve"> </w:t>
      </w:r>
      <w:r w:rsidR="00CD0F04">
        <w:t>enforce their</w:t>
      </w:r>
      <w:r w:rsidR="00B63CAE">
        <w:t xml:space="preserve"> own</w:t>
      </w:r>
      <w:r w:rsidR="00CD0F04">
        <w:t xml:space="preserve"> preferences</w:t>
      </w:r>
      <w:r w:rsidR="00CD0F04" w:rsidRPr="00390B67">
        <w:t xml:space="preserve">. </w:t>
      </w:r>
      <w:r w:rsidR="00546576">
        <w:t xml:space="preserve">But </w:t>
      </w:r>
      <w:r w:rsidR="008864B3">
        <w:t>to avoid</w:t>
      </w:r>
      <w:r w:rsidR="00CD0F04">
        <w:t xml:space="preserve"> </w:t>
      </w:r>
      <w:r w:rsidR="00B75EAC">
        <w:t>a political backlash</w:t>
      </w:r>
      <w:r w:rsidR="008864B3">
        <w:t>,</w:t>
      </w:r>
      <w:r w:rsidR="00CD0F04">
        <w:t xml:space="preserve"> </w:t>
      </w:r>
      <w:r w:rsidR="00546576">
        <w:t>the authorities</w:t>
      </w:r>
      <w:r w:rsidR="005D6BB6">
        <w:t xml:space="preserve"> prefer</w:t>
      </w:r>
      <w:r w:rsidR="00B75EAC">
        <w:t xml:space="preserve"> instead</w:t>
      </w:r>
      <w:r w:rsidR="00265A21" w:rsidRPr="00390B67">
        <w:t xml:space="preserve"> </w:t>
      </w:r>
      <w:r w:rsidR="003F2589" w:rsidRPr="00390B67">
        <w:t>to</w:t>
      </w:r>
      <w:r w:rsidR="005D6BB6">
        <w:t xml:space="preserve"> search for</w:t>
      </w:r>
      <w:r w:rsidR="0024441A">
        <w:t xml:space="preserve"> </w:t>
      </w:r>
      <w:r w:rsidR="005D6BB6">
        <w:t>consensual solution</w:t>
      </w:r>
      <w:r w:rsidR="00B75EAC">
        <w:t>s</w:t>
      </w:r>
      <w:r w:rsidR="005D6BB6">
        <w:t xml:space="preserve"> until they run out of time. </w:t>
      </w:r>
      <w:r w:rsidR="00911CB0">
        <w:t>Our analysis</w:t>
      </w:r>
      <w:r w:rsidR="00911CB0" w:rsidRPr="00390B67">
        <w:t xml:space="preserve"> confirm</w:t>
      </w:r>
      <w:r w:rsidR="00911CB0">
        <w:t>s</w:t>
      </w:r>
      <w:r w:rsidR="00911CB0" w:rsidRPr="00390B67">
        <w:t xml:space="preserve"> </w:t>
      </w:r>
      <w:r w:rsidR="00D51D45" w:rsidRPr="00390B67">
        <w:t>this logic</w:t>
      </w:r>
      <w:r w:rsidR="00B75EAC">
        <w:t xml:space="preserve"> by </w:t>
      </w:r>
      <w:r w:rsidR="0021505B" w:rsidRPr="00390B67">
        <w:t>revea</w:t>
      </w:r>
      <w:r w:rsidR="006E1094" w:rsidRPr="00390B67">
        <w:t>l</w:t>
      </w:r>
      <w:r w:rsidR="00911CB0">
        <w:t>ing</w:t>
      </w:r>
      <w:r w:rsidR="00E601C7" w:rsidRPr="00390B67">
        <w:t xml:space="preserve"> </w:t>
      </w:r>
      <w:r w:rsidR="006E1094" w:rsidRPr="00390B67">
        <w:t xml:space="preserve">a </w:t>
      </w:r>
      <w:r w:rsidR="00911CB0">
        <w:t xml:space="preserve">polycentric architecture </w:t>
      </w:r>
      <w:r w:rsidR="0002396B" w:rsidRPr="00390B67">
        <w:t xml:space="preserve">across </w:t>
      </w:r>
      <w:r w:rsidR="009B3A87">
        <w:t>all</w:t>
      </w:r>
      <w:r w:rsidR="00B63CAE" w:rsidRPr="00390B67">
        <w:t xml:space="preserve"> </w:t>
      </w:r>
      <w:r w:rsidR="0002396B" w:rsidRPr="00390B67">
        <w:t>cases</w:t>
      </w:r>
      <w:r w:rsidR="002D3654" w:rsidRPr="00390B67">
        <w:t xml:space="preserve">. Table 2 </w:t>
      </w:r>
      <w:r w:rsidR="00C02145">
        <w:t>illustrat</w:t>
      </w:r>
      <w:r w:rsidR="00C02145" w:rsidRPr="00390B67">
        <w:t xml:space="preserve">es </w:t>
      </w:r>
      <w:r w:rsidR="00487B27" w:rsidRPr="00390B67">
        <w:t>the protocol</w:t>
      </w:r>
      <w:r w:rsidR="009B3A87">
        <w:t xml:space="preserve"> that</w:t>
      </w:r>
      <w:r w:rsidR="00487B27" w:rsidRPr="00390B67">
        <w:t xml:space="preserve"> </w:t>
      </w:r>
      <w:r w:rsidR="00DC4784" w:rsidRPr="00390B67">
        <w:t xml:space="preserve">we </w:t>
      </w:r>
      <w:r w:rsidR="00487B27" w:rsidRPr="00390B67">
        <w:t>use</w:t>
      </w:r>
      <w:r w:rsidR="00914211" w:rsidRPr="00390B67">
        <w:t>d</w:t>
      </w:r>
      <w:r w:rsidR="00487B27" w:rsidRPr="00390B67">
        <w:t xml:space="preserve"> to </w:t>
      </w:r>
      <w:r w:rsidR="00C33701" w:rsidRPr="00390B67">
        <w:t>interrogate</w:t>
      </w:r>
      <w:r w:rsidR="00487B27" w:rsidRPr="00390B67">
        <w:t xml:space="preserve"> </w:t>
      </w:r>
      <w:r w:rsidR="00C33701" w:rsidRPr="00390B67">
        <w:t>the</w:t>
      </w:r>
      <w:r w:rsidR="0092109B" w:rsidRPr="00390B67">
        <w:t xml:space="preserve"> </w:t>
      </w:r>
      <w:r w:rsidR="00487B27" w:rsidRPr="00390B67">
        <w:t>data</w:t>
      </w:r>
      <w:r w:rsidR="0092109B" w:rsidRPr="00390B67">
        <w:t>base</w:t>
      </w:r>
      <w:r w:rsidR="00F409FD" w:rsidRPr="00390B67">
        <w:t xml:space="preserve"> of</w:t>
      </w:r>
      <w:r w:rsidR="00911CB0">
        <w:t xml:space="preserve"> </w:t>
      </w:r>
      <w:r w:rsidR="009B3A87">
        <w:t xml:space="preserve">local </w:t>
      </w:r>
      <w:r w:rsidR="00F409FD" w:rsidRPr="00390B67">
        <w:t>disputes</w:t>
      </w:r>
      <w:r w:rsidR="005C62C0" w:rsidRPr="00390B67">
        <w:t xml:space="preserve"> </w:t>
      </w:r>
      <w:r w:rsidR="00613AFA" w:rsidRPr="00390B67">
        <w:t>and</w:t>
      </w:r>
      <w:r w:rsidR="00487B27" w:rsidRPr="00390B67">
        <w:t xml:space="preserve"> </w:t>
      </w:r>
      <w:r w:rsidR="00C33701" w:rsidRPr="00390B67">
        <w:t>construct</w:t>
      </w:r>
      <w:r w:rsidR="002953F7" w:rsidRPr="00390B67">
        <w:t xml:space="preserve"> </w:t>
      </w:r>
      <w:r w:rsidR="00223928" w:rsidRPr="00390B67">
        <w:t>the matrices</w:t>
      </w:r>
      <w:r w:rsidR="00487B27" w:rsidRPr="00390B67">
        <w:t>.</w:t>
      </w:r>
      <w:r w:rsidR="00CD0F04" w:rsidRPr="00CD0F04">
        <w:t xml:space="preserve"> </w:t>
      </w:r>
      <w:r w:rsidR="00CD0F04" w:rsidRPr="00390B67">
        <w:t>Figure 2 illustrates the analysis with excerpts of the DSMs and</w:t>
      </w:r>
      <w:r w:rsidR="0024441A">
        <w:t xml:space="preserve"> corresponding</w:t>
      </w:r>
      <w:r w:rsidR="00CD0F04" w:rsidRPr="00390B67">
        <w:t xml:space="preserve"> organizational matrices.</w:t>
      </w:r>
      <w:r w:rsidR="00CD0F04" w:rsidRPr="00CD0F04">
        <w:t xml:space="preserve"> </w:t>
      </w:r>
      <w:r w:rsidR="00CD0F04">
        <w:t>The</w:t>
      </w:r>
      <w:r w:rsidR="00CD0F04" w:rsidRPr="00390B67">
        <w:t xml:space="preserve"> cells along the diagonal of </w:t>
      </w:r>
      <w:r w:rsidR="009B3A87">
        <w:t xml:space="preserve">the </w:t>
      </w:r>
      <w:r w:rsidR="00CD0F04" w:rsidRPr="00390B67">
        <w:t>DSMs represent</w:t>
      </w:r>
      <w:r w:rsidR="00CD0F04">
        <w:t xml:space="preserve"> </w:t>
      </w:r>
      <w:r w:rsidR="00B75EAC">
        <w:t xml:space="preserve">local </w:t>
      </w:r>
      <w:r w:rsidR="00CD0F04">
        <w:t xml:space="preserve">planning </w:t>
      </w:r>
      <w:r w:rsidR="00CD0F04" w:rsidRPr="00390B67">
        <w:t xml:space="preserve">decisions (the decisions are listed to the left of the rows) </w:t>
      </w:r>
      <w:r w:rsidR="00CD0F04">
        <w:t>and</w:t>
      </w:r>
      <w:r w:rsidR="00CD0F04" w:rsidRPr="00390B67">
        <w:t xml:space="preserve"> the off-diagonal entries indicate interdependency between the decisions. For example, if the DSM has an entry in row </w:t>
      </w:r>
      <w:proofErr w:type="spellStart"/>
      <w:r w:rsidR="00CD0F04" w:rsidRPr="00390B67">
        <w:t>i</w:t>
      </w:r>
      <w:proofErr w:type="spellEnd"/>
      <w:r w:rsidR="00CD0F04" w:rsidRPr="00390B67">
        <w:t xml:space="preserve">, column j, the decision concerning element </w:t>
      </w:r>
      <w:proofErr w:type="spellStart"/>
      <w:r w:rsidR="00CD0F04" w:rsidRPr="00390B67">
        <w:t>i</w:t>
      </w:r>
      <w:proofErr w:type="spellEnd"/>
      <w:r w:rsidR="00CD0F04" w:rsidRPr="00390B67">
        <w:t xml:space="preserve"> has an impact on the decision concerning element j. </w:t>
      </w:r>
      <w:r w:rsidR="00CD0F04" w:rsidRPr="00390B67">
        <w:lastRenderedPageBreak/>
        <w:t>Hence, the decisions represented in the diagonal cells have inputs entering from the top and bottom decisions, and outputs leaving from the left and right sides.</w:t>
      </w:r>
    </w:p>
    <w:p w14:paraId="698FEDF7" w14:textId="2A24D9A2" w:rsidR="00487B27" w:rsidRPr="00390B67" w:rsidRDefault="00487B27" w:rsidP="00B05AF5">
      <w:pPr>
        <w:pStyle w:val="Caption"/>
      </w:pPr>
      <w:r w:rsidRPr="00390B67">
        <w:t xml:space="preserve">&lt;Insert </w:t>
      </w:r>
      <w:r w:rsidR="00B63CAE" w:rsidRPr="00390B67">
        <w:t xml:space="preserve">Table </w:t>
      </w:r>
      <w:r w:rsidR="00B63CAE">
        <w:t>2</w:t>
      </w:r>
      <w:r w:rsidR="00B63CAE" w:rsidRPr="00390B67">
        <w:t xml:space="preserve"> </w:t>
      </w:r>
      <w:r w:rsidR="00B63CAE">
        <w:t xml:space="preserve">and </w:t>
      </w:r>
      <w:r w:rsidRPr="00390B67">
        <w:t>Figure 2 here&gt;</w:t>
      </w:r>
    </w:p>
    <w:p w14:paraId="0F0BD507" w14:textId="04C5197F" w:rsidR="00504F2E" w:rsidRDefault="006665AF" w:rsidP="00504F2E">
      <w:r w:rsidRPr="00390B67">
        <w:t xml:space="preserve">A </w:t>
      </w:r>
      <w:r w:rsidR="00FD61A7" w:rsidRPr="00390B67">
        <w:t>first point to note is</w:t>
      </w:r>
      <w:r w:rsidR="0024441A">
        <w:t xml:space="preserve"> the</w:t>
      </w:r>
      <w:r w:rsidR="00B75EAC">
        <w:t xml:space="preserve"> </w:t>
      </w:r>
      <w:r w:rsidR="00FD61A7" w:rsidRPr="00390B67">
        <w:t xml:space="preserve">regularity </w:t>
      </w:r>
      <w:r w:rsidR="009B3A87">
        <w:t>of</w:t>
      </w:r>
      <w:r w:rsidR="00911CB0">
        <w:t xml:space="preserve"> the architecture of the planning problem</w:t>
      </w:r>
      <w:r w:rsidR="0020285E" w:rsidRPr="00390B67">
        <w:t>:</w:t>
      </w:r>
      <w:r w:rsidR="002D3654" w:rsidRPr="00390B67">
        <w:t xml:space="preserve"> invariably</w:t>
      </w:r>
      <w:r w:rsidR="0020285E" w:rsidRPr="00390B67">
        <w:t xml:space="preserve">, </w:t>
      </w:r>
      <w:r w:rsidR="00B75EAC">
        <w:t>all</w:t>
      </w:r>
      <w:r w:rsidR="00B75EAC" w:rsidRPr="00390B67">
        <w:t xml:space="preserve"> </w:t>
      </w:r>
      <w:r w:rsidR="009B3A87">
        <w:t>DSMs</w:t>
      </w:r>
      <w:r w:rsidR="009B3A87" w:rsidRPr="00390B67">
        <w:t xml:space="preserve"> </w:t>
      </w:r>
      <w:r w:rsidR="00956738" w:rsidRPr="00390B67">
        <w:t xml:space="preserve">show densely populated </w:t>
      </w:r>
      <w:r w:rsidR="0099485D" w:rsidRPr="00390B67">
        <w:t>clusters of off-diagonals ‘x’</w:t>
      </w:r>
      <w:r w:rsidR="0092109B" w:rsidRPr="00390B67">
        <w:t xml:space="preserve">. </w:t>
      </w:r>
      <w:r w:rsidR="00A25777" w:rsidRPr="00390B67">
        <w:t xml:space="preserve">Each </w:t>
      </w:r>
      <w:r w:rsidR="00956738" w:rsidRPr="00390B67">
        <w:t xml:space="preserve">cluster </w:t>
      </w:r>
      <w:r w:rsidR="009F6FEB" w:rsidRPr="00390B67">
        <w:t>reflect</w:t>
      </w:r>
      <w:r w:rsidR="00A25777" w:rsidRPr="00390B67">
        <w:t>s</w:t>
      </w:r>
      <w:r w:rsidR="0099485D" w:rsidRPr="00390B67">
        <w:t xml:space="preserve"> the</w:t>
      </w:r>
      <w:r w:rsidR="000A701F">
        <w:t xml:space="preserve"> reciprocal</w:t>
      </w:r>
      <w:r w:rsidR="009F6FEB" w:rsidRPr="00390B67">
        <w:t xml:space="preserve"> </w:t>
      </w:r>
      <w:r w:rsidR="00911CB0" w:rsidRPr="00390B67">
        <w:t>interdependenc</w:t>
      </w:r>
      <w:r w:rsidR="00911CB0">
        <w:t>ies</w:t>
      </w:r>
      <w:r w:rsidR="00911CB0" w:rsidRPr="00390B67">
        <w:t xml:space="preserve"> </w:t>
      </w:r>
      <w:r w:rsidR="004F1E04" w:rsidRPr="00390B67">
        <w:t>among</w:t>
      </w:r>
      <w:r w:rsidR="00D76DBF" w:rsidRPr="00390B67">
        <w:t xml:space="preserve"> </w:t>
      </w:r>
      <w:r w:rsidR="00504F2E" w:rsidRPr="00390B67">
        <w:t xml:space="preserve">the </w:t>
      </w:r>
      <w:r w:rsidR="00504F2E">
        <w:t xml:space="preserve">constituent elements of </w:t>
      </w:r>
      <w:r w:rsidR="00DB39D8">
        <w:t xml:space="preserve">the </w:t>
      </w:r>
      <w:r w:rsidR="00911CB0">
        <w:t>planning</w:t>
      </w:r>
      <w:r w:rsidR="00DB39D8">
        <w:t xml:space="preserve"> choices</w:t>
      </w:r>
      <w:r w:rsidR="00911CB0" w:rsidRPr="00390B67">
        <w:t xml:space="preserve"> </w:t>
      </w:r>
      <w:r w:rsidR="00B75EAC">
        <w:t>for a component</w:t>
      </w:r>
      <w:r w:rsidR="00A53DE6" w:rsidRPr="00390B67">
        <w:t xml:space="preserve">. </w:t>
      </w:r>
      <w:r w:rsidR="00ED3226" w:rsidRPr="00390B67">
        <w:t>For exampl</w:t>
      </w:r>
      <w:r w:rsidR="009A556E" w:rsidRPr="00390B67">
        <w:t>e</w:t>
      </w:r>
      <w:r w:rsidR="00202E89" w:rsidRPr="00390B67">
        <w:t>,</w:t>
      </w:r>
      <w:r w:rsidR="009F6FEB" w:rsidRPr="00390B67">
        <w:t xml:space="preserve"> </w:t>
      </w:r>
      <w:r w:rsidR="00CF4916" w:rsidRPr="00390B67">
        <w:t xml:space="preserve">one </w:t>
      </w:r>
      <w:r w:rsidR="00AE1AD7" w:rsidRPr="00390B67">
        <w:t>component</w:t>
      </w:r>
      <w:r w:rsidR="0002396B" w:rsidRPr="00390B67">
        <w:t xml:space="preserve"> illustrated in </w:t>
      </w:r>
      <w:r w:rsidR="00B75EAC" w:rsidRPr="00390B67">
        <w:t>Table 2</w:t>
      </w:r>
      <w:r w:rsidR="00B75EAC">
        <w:t xml:space="preserve"> and </w:t>
      </w:r>
      <w:r w:rsidR="0002396B" w:rsidRPr="00390B67">
        <w:t>Figure 2</w:t>
      </w:r>
      <w:r w:rsidR="00C91833" w:rsidRPr="00390B67">
        <w:t xml:space="preserve"> </w:t>
      </w:r>
      <w:r w:rsidR="000A701F">
        <w:t>i</w:t>
      </w:r>
      <w:r w:rsidR="00CF4916" w:rsidRPr="00390B67">
        <w:t>s</w:t>
      </w:r>
      <w:r w:rsidR="00AE1AD7" w:rsidRPr="00390B67">
        <w:t xml:space="preserve"> the</w:t>
      </w:r>
      <w:r w:rsidR="00CF4916" w:rsidRPr="00390B67">
        <w:t xml:space="preserve"> </w:t>
      </w:r>
      <w:r w:rsidR="00B05AF5" w:rsidRPr="00390B67">
        <w:t xml:space="preserve">Olympic </w:t>
      </w:r>
      <w:r w:rsidR="00AE1AD7" w:rsidRPr="00390B67">
        <w:t>Aquatics Centre</w:t>
      </w:r>
      <w:r w:rsidRPr="00390B67">
        <w:t xml:space="preserve">. The </w:t>
      </w:r>
      <w:r w:rsidR="00911CB0">
        <w:t>decision</w:t>
      </w:r>
      <w:r w:rsidR="00911CB0" w:rsidRPr="00390B67">
        <w:t xml:space="preserve"> </w:t>
      </w:r>
      <w:r w:rsidRPr="00390B67">
        <w:t xml:space="preserve">to </w:t>
      </w:r>
      <w:r w:rsidR="002953F7" w:rsidRPr="00390B67">
        <w:t xml:space="preserve">set </w:t>
      </w:r>
      <w:r w:rsidR="00CF4916" w:rsidRPr="00390B67">
        <w:t xml:space="preserve">its </w:t>
      </w:r>
      <w:r w:rsidR="00D51D45" w:rsidRPr="00390B67">
        <w:t xml:space="preserve">local </w:t>
      </w:r>
      <w:r w:rsidRPr="00390B67">
        <w:t xml:space="preserve">goal </w:t>
      </w:r>
      <w:r w:rsidR="00BE0EC9" w:rsidRPr="00390B67">
        <w:t>as</w:t>
      </w:r>
      <w:r w:rsidR="00856A16" w:rsidRPr="00390B67">
        <w:t xml:space="preserve"> </w:t>
      </w:r>
      <w:r w:rsidR="00A91EAF" w:rsidRPr="00390B67">
        <w:t>a</w:t>
      </w:r>
      <w:r w:rsidR="007E6069" w:rsidRPr="00390B67">
        <w:t xml:space="preserve"> </w:t>
      </w:r>
      <w:r w:rsidR="009A556E" w:rsidRPr="00390B67">
        <w:t>‘</w:t>
      </w:r>
      <w:r w:rsidR="007E6069" w:rsidRPr="00390B67">
        <w:t xml:space="preserve">massive </w:t>
      </w:r>
      <w:r w:rsidR="00ED3226" w:rsidRPr="00390B67">
        <w:t>iconic venue</w:t>
      </w:r>
      <w:r w:rsidR="009A556E" w:rsidRPr="00390B67">
        <w:t>’</w:t>
      </w:r>
      <w:r w:rsidR="00ED3226" w:rsidRPr="00390B67">
        <w:t xml:space="preserve"> is an input </w:t>
      </w:r>
      <w:r w:rsidR="001C0456" w:rsidRPr="00390B67">
        <w:t>for</w:t>
      </w:r>
      <w:r w:rsidR="00DB39D8">
        <w:t xml:space="preserve"> </w:t>
      </w:r>
      <w:r w:rsidR="00911CB0">
        <w:t>decisions</w:t>
      </w:r>
      <w:r w:rsidR="00B05AF5" w:rsidRPr="00390B67">
        <w:t xml:space="preserve"> </w:t>
      </w:r>
      <w:r w:rsidR="00ED3226" w:rsidRPr="00390B67">
        <w:t xml:space="preserve">on </w:t>
      </w:r>
      <w:r w:rsidR="00F612E8" w:rsidRPr="00390B67">
        <w:t>cost</w:t>
      </w:r>
      <w:r w:rsidR="009A556E" w:rsidRPr="00390B67">
        <w:t>, footprint,</w:t>
      </w:r>
      <w:r w:rsidR="00ED3226" w:rsidRPr="00390B67">
        <w:t xml:space="preserve"> </w:t>
      </w:r>
      <w:r w:rsidR="00A25777" w:rsidRPr="00390B67">
        <w:t xml:space="preserve">and </w:t>
      </w:r>
      <w:r w:rsidR="002465DD" w:rsidRPr="00390B67">
        <w:t>capacity</w:t>
      </w:r>
      <w:r w:rsidR="006E1094" w:rsidRPr="00390B67">
        <w:t>;</w:t>
      </w:r>
      <w:r w:rsidR="00701E7D" w:rsidRPr="00390B67">
        <w:t xml:space="preserve"> </w:t>
      </w:r>
      <w:r w:rsidR="0020285E" w:rsidRPr="00390B67">
        <w:t>the</w:t>
      </w:r>
      <w:r w:rsidR="00B05AF5" w:rsidRPr="00390B67">
        <w:t>se</w:t>
      </w:r>
      <w:r w:rsidR="0020285E" w:rsidRPr="00390B67">
        <w:t xml:space="preserve"> </w:t>
      </w:r>
      <w:r w:rsidR="00807738" w:rsidRPr="00390B67">
        <w:t>decisions</w:t>
      </w:r>
      <w:r w:rsidR="00911CB0">
        <w:t>,</w:t>
      </w:r>
      <w:r w:rsidR="00CF4916" w:rsidRPr="00390B67">
        <w:t xml:space="preserve"> </w:t>
      </w:r>
      <w:r w:rsidR="006E1094" w:rsidRPr="00390B67">
        <w:t>in turn</w:t>
      </w:r>
      <w:r w:rsidR="00911CB0">
        <w:t>,</w:t>
      </w:r>
      <w:r w:rsidR="006E1094" w:rsidRPr="00390B67">
        <w:t xml:space="preserve"> </w:t>
      </w:r>
      <w:r w:rsidR="0020285E" w:rsidRPr="00390B67">
        <w:t>are inputs to refine the</w:t>
      </w:r>
      <w:r w:rsidR="006E1094" w:rsidRPr="00390B67">
        <w:t xml:space="preserve"> </w:t>
      </w:r>
      <w:r w:rsidR="00434137" w:rsidRPr="00390B67">
        <w:t>goal. For example</w:t>
      </w:r>
      <w:r w:rsidR="00C02145">
        <w:t>,</w:t>
      </w:r>
      <w:r w:rsidR="007E6069" w:rsidRPr="00390B67">
        <w:t xml:space="preserve"> </w:t>
      </w:r>
      <w:r w:rsidR="009A556E" w:rsidRPr="00390B67">
        <w:t xml:space="preserve">the </w:t>
      </w:r>
      <w:r w:rsidR="006E1094" w:rsidRPr="00390B67">
        <w:t xml:space="preserve">local </w:t>
      </w:r>
      <w:r w:rsidR="005E6F30" w:rsidRPr="00390B67">
        <w:t xml:space="preserve">goal needs </w:t>
      </w:r>
      <w:r w:rsidR="00D700E4" w:rsidRPr="00390B67">
        <w:t>readjustment</w:t>
      </w:r>
      <w:r w:rsidR="002953F7" w:rsidRPr="00390B67">
        <w:t xml:space="preserve"> </w:t>
      </w:r>
      <w:r w:rsidR="005E6F30" w:rsidRPr="00390B67">
        <w:t xml:space="preserve">if: </w:t>
      </w:r>
      <w:proofErr w:type="spellStart"/>
      <w:r w:rsidR="005E6F30" w:rsidRPr="00390B67">
        <w:t>i</w:t>
      </w:r>
      <w:proofErr w:type="spellEnd"/>
      <w:r w:rsidR="005E6F30" w:rsidRPr="00390B67">
        <w:t xml:space="preserve">) </w:t>
      </w:r>
      <w:r w:rsidR="00B05AF5" w:rsidRPr="00390B67">
        <w:t>the cost</w:t>
      </w:r>
      <w:r w:rsidR="00AC4A31">
        <w:t xml:space="preserve"> </w:t>
      </w:r>
      <w:r w:rsidR="00B05AF5" w:rsidRPr="00390B67">
        <w:t xml:space="preserve">is unaffordable; ii) </w:t>
      </w:r>
      <w:r w:rsidR="001C0456" w:rsidRPr="00390B67">
        <w:t>the</w:t>
      </w:r>
      <w:r w:rsidR="002953F7" w:rsidRPr="00390B67">
        <w:t>re is not enough</w:t>
      </w:r>
      <w:r w:rsidR="001C0456" w:rsidRPr="00390B67">
        <w:t xml:space="preserve"> </w:t>
      </w:r>
      <w:r w:rsidR="009A556E" w:rsidRPr="00390B67">
        <w:t>land</w:t>
      </w:r>
      <w:r w:rsidR="00B05AF5" w:rsidRPr="00390B67">
        <w:t xml:space="preserve">; </w:t>
      </w:r>
      <w:r w:rsidR="005E6F30" w:rsidRPr="00390B67">
        <w:t xml:space="preserve">or iii) </w:t>
      </w:r>
      <w:r w:rsidR="001C0456" w:rsidRPr="00390B67">
        <w:t>a massive venue is</w:t>
      </w:r>
      <w:r w:rsidR="00063B72" w:rsidRPr="00390B67">
        <w:t xml:space="preserve"> </w:t>
      </w:r>
      <w:r w:rsidR="00C91833" w:rsidRPr="00390B67">
        <w:t>un</w:t>
      </w:r>
      <w:r w:rsidR="001C0456" w:rsidRPr="00390B67">
        <w:t>viable</w:t>
      </w:r>
      <w:r w:rsidR="00063B72" w:rsidRPr="00390B67">
        <w:t xml:space="preserve"> </w:t>
      </w:r>
      <w:r w:rsidR="00C02145">
        <w:t>for</w:t>
      </w:r>
      <w:r w:rsidR="00063B72" w:rsidRPr="00390B67">
        <w:t xml:space="preserve"> use</w:t>
      </w:r>
      <w:r w:rsidR="00434137" w:rsidRPr="00390B67">
        <w:t xml:space="preserve">. As the goal gets readjusted, </w:t>
      </w:r>
      <w:r w:rsidR="0024441A">
        <w:t>the</w:t>
      </w:r>
      <w:r w:rsidR="004E48C3" w:rsidRPr="00390B67">
        <w:t xml:space="preserve"> other</w:t>
      </w:r>
      <w:r w:rsidR="005E6F30" w:rsidRPr="00390B67">
        <w:t xml:space="preserve"> </w:t>
      </w:r>
      <w:r w:rsidR="00B05AF5" w:rsidRPr="00390B67">
        <w:t xml:space="preserve">local </w:t>
      </w:r>
      <w:r w:rsidR="00DC31E8">
        <w:t>decisions</w:t>
      </w:r>
      <w:r w:rsidR="0024441A">
        <w:t xml:space="preserve"> may need to change too</w:t>
      </w:r>
      <w:r w:rsidR="002465DD" w:rsidRPr="00390B67">
        <w:t xml:space="preserve">. </w:t>
      </w:r>
      <w:r w:rsidR="004F1E04" w:rsidRPr="00390B67">
        <w:t>One</w:t>
      </w:r>
      <w:r w:rsidR="00E64245" w:rsidRPr="00390B67">
        <w:t xml:space="preserve"> level down</w:t>
      </w:r>
      <w:r w:rsidR="00202E89" w:rsidRPr="00390B67">
        <w:t>,</w:t>
      </w:r>
      <w:r w:rsidR="00ED3226" w:rsidRPr="00390B67">
        <w:t xml:space="preserve"> </w:t>
      </w:r>
      <w:r w:rsidR="006E1094" w:rsidRPr="00390B67">
        <w:t xml:space="preserve">a </w:t>
      </w:r>
      <w:r w:rsidR="00DB39D8">
        <w:t>controversial</w:t>
      </w:r>
      <w:r w:rsidR="006E1094" w:rsidRPr="00390B67">
        <w:t xml:space="preserve"> </w:t>
      </w:r>
      <w:r w:rsidR="002953F7" w:rsidRPr="00390B67">
        <w:t>decision</w:t>
      </w:r>
      <w:r w:rsidR="007A6607" w:rsidRPr="00390B67">
        <w:t xml:space="preserve"> </w:t>
      </w:r>
      <w:r w:rsidR="00856A16" w:rsidRPr="00390B67">
        <w:t>to add a</w:t>
      </w:r>
      <w:r w:rsidR="002953F7" w:rsidRPr="00390B67">
        <w:t xml:space="preserve"> </w:t>
      </w:r>
      <w:r w:rsidR="009A556E" w:rsidRPr="00390B67">
        <w:t>‘</w:t>
      </w:r>
      <w:r w:rsidR="002953F7" w:rsidRPr="00390B67">
        <w:t xml:space="preserve">stylistic’ </w:t>
      </w:r>
      <w:r w:rsidR="009A556E" w:rsidRPr="00390B67">
        <w:t>diving board</w:t>
      </w:r>
      <w:r w:rsidR="00ED3226" w:rsidRPr="00390B67">
        <w:t xml:space="preserve"> is</w:t>
      </w:r>
      <w:r w:rsidR="00C91833" w:rsidRPr="00390B67">
        <w:t xml:space="preserve"> </w:t>
      </w:r>
      <w:r w:rsidR="009A556E" w:rsidRPr="00390B67">
        <w:t xml:space="preserve">interdependent </w:t>
      </w:r>
      <w:r w:rsidR="006E1094" w:rsidRPr="00390B67">
        <w:t>only with</w:t>
      </w:r>
      <w:r w:rsidR="00ED3226" w:rsidRPr="00390B67">
        <w:t xml:space="preserve"> the</w:t>
      </w:r>
      <w:r w:rsidR="006E1094" w:rsidRPr="00390B67">
        <w:t xml:space="preserve"> </w:t>
      </w:r>
      <w:r w:rsidR="009B3A87" w:rsidRPr="00390B67">
        <w:t>decisions</w:t>
      </w:r>
      <w:r w:rsidR="009B3A87">
        <w:t xml:space="preserve"> to set the local</w:t>
      </w:r>
      <w:r w:rsidR="009B3A87" w:rsidRPr="00390B67">
        <w:t xml:space="preserve"> </w:t>
      </w:r>
      <w:r w:rsidR="00C91833" w:rsidRPr="00390B67">
        <w:t xml:space="preserve">goal and </w:t>
      </w:r>
      <w:r w:rsidR="00504F2E">
        <w:t>cost</w:t>
      </w:r>
      <w:r w:rsidR="009B3A87">
        <w:t xml:space="preserve"> forecast</w:t>
      </w:r>
      <w:r w:rsidR="00ED3226" w:rsidRPr="00390B67">
        <w:t>.</w:t>
      </w:r>
      <w:r w:rsidR="00504F2E">
        <w:t xml:space="preserve"> </w:t>
      </w:r>
    </w:p>
    <w:p w14:paraId="467C7B06" w14:textId="260A2942" w:rsidR="00F657F2" w:rsidRPr="00390B67" w:rsidRDefault="00C02145" w:rsidP="00504F2E">
      <w:r>
        <w:t>T</w:t>
      </w:r>
      <w:r w:rsidR="00956738" w:rsidRPr="00390B67">
        <w:t>he</w:t>
      </w:r>
      <w:r w:rsidR="00B90DA1" w:rsidRPr="00390B67">
        <w:t xml:space="preserve"> four</w:t>
      </w:r>
      <w:r w:rsidR="00956738" w:rsidRPr="00390B67">
        <w:t xml:space="preserve"> </w:t>
      </w:r>
      <w:r w:rsidR="006749A7" w:rsidRPr="00390B67">
        <w:t>DS</w:t>
      </w:r>
      <w:r w:rsidR="00675814" w:rsidRPr="00390B67">
        <w:t>Ms</w:t>
      </w:r>
      <w:r w:rsidR="00911CB0">
        <w:t xml:space="preserve"> </w:t>
      </w:r>
      <w:r w:rsidR="00675814" w:rsidRPr="00390B67">
        <w:t>differ</w:t>
      </w:r>
      <w:r w:rsidR="009609A2" w:rsidRPr="00390B67">
        <w:t xml:space="preserve"> substantially</w:t>
      </w:r>
      <w:r>
        <w:t>, however,</w:t>
      </w:r>
      <w:r w:rsidR="006749A7" w:rsidRPr="00390B67">
        <w:t xml:space="preserve"> in the </w:t>
      </w:r>
      <w:r w:rsidR="00250D98" w:rsidRPr="00390B67">
        <w:t>degree of</w:t>
      </w:r>
      <w:r w:rsidR="006749A7" w:rsidRPr="00390B67">
        <w:t xml:space="preserve"> interdependenc</w:t>
      </w:r>
      <w:r w:rsidR="00250D98" w:rsidRPr="00390B67">
        <w:t>y</w:t>
      </w:r>
      <w:r w:rsidR="006749A7" w:rsidRPr="00390B67">
        <w:t xml:space="preserve"> </w:t>
      </w:r>
      <w:r w:rsidR="002953F7" w:rsidRPr="00390B67">
        <w:t>between</w:t>
      </w:r>
      <w:r w:rsidR="005C62C0" w:rsidRPr="00390B67">
        <w:t xml:space="preserve"> the</w:t>
      </w:r>
      <w:r w:rsidR="002953F7" w:rsidRPr="00390B67">
        <w:t xml:space="preserve"> </w:t>
      </w:r>
      <w:r w:rsidR="006E1094" w:rsidRPr="00390B67">
        <w:t xml:space="preserve">off-diagonal </w:t>
      </w:r>
      <w:r w:rsidR="006749A7" w:rsidRPr="00390B67">
        <w:t>component</w:t>
      </w:r>
      <w:r w:rsidR="00956738" w:rsidRPr="00390B67">
        <w:t xml:space="preserve"> clusters</w:t>
      </w:r>
      <w:r w:rsidR="006749A7" w:rsidRPr="00390B67">
        <w:t xml:space="preserve">. </w:t>
      </w:r>
      <w:r w:rsidR="006E1094" w:rsidRPr="00390B67">
        <w:t>For example, t</w:t>
      </w:r>
      <w:r w:rsidR="004F1E04" w:rsidRPr="00390B67">
        <w:t>he Olympic P</w:t>
      </w:r>
      <w:r w:rsidR="005D7446" w:rsidRPr="00390B67">
        <w:t>ark DSM</w:t>
      </w:r>
      <w:r w:rsidR="001A0483" w:rsidRPr="00390B67">
        <w:t xml:space="preserve"> </w:t>
      </w:r>
      <w:r w:rsidR="005D7446" w:rsidRPr="00390B67">
        <w:t>is sparsely populated off the component clusters</w:t>
      </w:r>
      <w:r w:rsidR="006E1094" w:rsidRPr="00390B67">
        <w:t>.</w:t>
      </w:r>
      <w:r w:rsidR="005D7446" w:rsidRPr="00390B67">
        <w:t xml:space="preserve"> </w:t>
      </w:r>
      <w:r w:rsidR="006E1094" w:rsidRPr="00390B67">
        <w:t>This result reflects</w:t>
      </w:r>
      <w:r w:rsidR="00C44F2A" w:rsidRPr="00390B67">
        <w:t xml:space="preserve"> </w:t>
      </w:r>
      <w:r w:rsidR="006E1094" w:rsidRPr="00390B67">
        <w:t>the technological</w:t>
      </w:r>
      <w:r w:rsidR="00C44F2A" w:rsidRPr="00390B67">
        <w:t xml:space="preserve"> </w:t>
      </w:r>
      <w:r w:rsidR="006E1094" w:rsidRPr="00390B67">
        <w:t>independency between</w:t>
      </w:r>
      <w:r w:rsidR="00B05AF5" w:rsidRPr="00390B67">
        <w:t xml:space="preserve"> </w:t>
      </w:r>
      <w:r w:rsidR="00C44F2A" w:rsidRPr="00390B67">
        <w:t xml:space="preserve">sport venues, and thus </w:t>
      </w:r>
      <w:r w:rsidR="006E1094" w:rsidRPr="00390B67">
        <w:t>the</w:t>
      </w:r>
      <w:r w:rsidR="001A0483" w:rsidRPr="00390B67">
        <w:t xml:space="preserve"> modular architecture</w:t>
      </w:r>
      <w:r w:rsidR="006E1094" w:rsidRPr="00390B67">
        <w:t xml:space="preserve"> of the Olympic park</w:t>
      </w:r>
      <w:r w:rsidR="001A0483" w:rsidRPr="00390B67">
        <w:t>. The</w:t>
      </w:r>
      <w:r w:rsidR="007A6607" w:rsidRPr="00390B67">
        <w:t xml:space="preserve"> </w:t>
      </w:r>
      <w:r w:rsidR="00F657F2" w:rsidRPr="00390B67">
        <w:t>exception</w:t>
      </w:r>
      <w:r w:rsidR="00C44F2A" w:rsidRPr="00390B67">
        <w:t xml:space="preserve"> </w:t>
      </w:r>
      <w:r w:rsidR="00F657F2" w:rsidRPr="00390B67">
        <w:t>i</w:t>
      </w:r>
      <w:r w:rsidR="006749A7" w:rsidRPr="00390B67">
        <w:t xml:space="preserve">s </w:t>
      </w:r>
      <w:r w:rsidR="00250D98" w:rsidRPr="00390B67">
        <w:t>the</w:t>
      </w:r>
      <w:r w:rsidR="005D1314" w:rsidRPr="00390B67">
        <w:t xml:space="preserve"> </w:t>
      </w:r>
      <w:r w:rsidR="00250D98" w:rsidRPr="00390B67">
        <w:t>interdependen</w:t>
      </w:r>
      <w:r w:rsidR="00956738" w:rsidRPr="00390B67">
        <w:t>cy</w:t>
      </w:r>
      <w:r w:rsidR="005D1314" w:rsidRPr="00390B67">
        <w:t xml:space="preserve"> </w:t>
      </w:r>
      <w:r w:rsidR="00956738" w:rsidRPr="00390B67">
        <w:t>between</w:t>
      </w:r>
      <w:r w:rsidR="00B05AF5" w:rsidRPr="00390B67">
        <w:t xml:space="preserve"> different</w:t>
      </w:r>
      <w:r w:rsidR="00250D98" w:rsidRPr="00390B67">
        <w:t xml:space="preserve"> </w:t>
      </w:r>
      <w:r w:rsidR="00063B72" w:rsidRPr="00390B67">
        <w:t xml:space="preserve">local </w:t>
      </w:r>
      <w:r w:rsidR="009609A2" w:rsidRPr="00390B67">
        <w:t>cost</w:t>
      </w:r>
      <w:r w:rsidR="00956738" w:rsidRPr="00390B67">
        <w:t xml:space="preserve"> </w:t>
      </w:r>
      <w:r w:rsidR="00250D98" w:rsidRPr="00390B67">
        <w:t>decisions</w:t>
      </w:r>
      <w:r w:rsidR="00F83FC0">
        <w:t xml:space="preserve"> since</w:t>
      </w:r>
      <w:r w:rsidR="00250D98" w:rsidRPr="00390B67">
        <w:t xml:space="preserve"> increasing</w:t>
      </w:r>
      <w:r w:rsidR="006749A7" w:rsidRPr="00390B67">
        <w:t xml:space="preserve"> </w:t>
      </w:r>
      <w:r w:rsidR="00CB5B0F" w:rsidRPr="00390B67">
        <w:t>the</w:t>
      </w:r>
      <w:r w:rsidR="006749A7" w:rsidRPr="00390B67">
        <w:t xml:space="preserve"> </w:t>
      </w:r>
      <w:r w:rsidR="009609A2" w:rsidRPr="00390B67">
        <w:t>cost</w:t>
      </w:r>
      <w:r w:rsidR="00CB5B0F" w:rsidRPr="00390B67">
        <w:t xml:space="preserve"> for one venue</w:t>
      </w:r>
      <w:r w:rsidR="006749A7" w:rsidRPr="00390B67">
        <w:t xml:space="preserve"> potentially leave</w:t>
      </w:r>
      <w:r w:rsidR="00B57347" w:rsidRPr="00390B67">
        <w:t>s</w:t>
      </w:r>
      <w:r w:rsidR="006749A7" w:rsidRPr="00390B67">
        <w:t xml:space="preserve"> less money </w:t>
      </w:r>
      <w:r w:rsidR="00202E89" w:rsidRPr="00390B67">
        <w:t xml:space="preserve">to </w:t>
      </w:r>
      <w:r w:rsidR="00A53DE6" w:rsidRPr="00390B67">
        <w:t xml:space="preserve">invest in the other </w:t>
      </w:r>
      <w:r w:rsidR="007A6607" w:rsidRPr="00390B67">
        <w:t>venues</w:t>
      </w:r>
      <w:r w:rsidR="00E317A6" w:rsidRPr="00390B67">
        <w:t>.</w:t>
      </w:r>
      <w:r w:rsidR="00911CB0">
        <w:t xml:space="preserve"> </w:t>
      </w:r>
      <w:r w:rsidR="001A0483" w:rsidRPr="00390B67">
        <w:t xml:space="preserve">In </w:t>
      </w:r>
      <w:r w:rsidR="00911CB0">
        <w:t xml:space="preserve">marked </w:t>
      </w:r>
      <w:r w:rsidR="001A0483" w:rsidRPr="00390B67">
        <w:t>contrast</w:t>
      </w:r>
      <w:r w:rsidR="003157DF" w:rsidRPr="00390B67">
        <w:t xml:space="preserve">, </w:t>
      </w:r>
      <w:r w:rsidR="00BC03D0" w:rsidRPr="00390B67">
        <w:t>the</w:t>
      </w:r>
      <w:r w:rsidR="003157DF" w:rsidRPr="00390B67">
        <w:t xml:space="preserve"> </w:t>
      </w:r>
      <w:r w:rsidR="00165B55" w:rsidRPr="00390B67">
        <w:t xml:space="preserve">Crossrail and HS2 </w:t>
      </w:r>
      <w:r w:rsidR="007A6607" w:rsidRPr="00390B67">
        <w:t xml:space="preserve">DSMs </w:t>
      </w:r>
      <w:r w:rsidR="00416D20" w:rsidRPr="00390B67">
        <w:t xml:space="preserve">show high interdependency </w:t>
      </w:r>
      <w:r w:rsidR="00AE1AD7" w:rsidRPr="00390B67">
        <w:t>between</w:t>
      </w:r>
      <w:r w:rsidR="002953F7" w:rsidRPr="00390B67">
        <w:t xml:space="preserve"> the</w:t>
      </w:r>
      <w:r w:rsidR="00AE1AD7" w:rsidRPr="00390B67">
        <w:t xml:space="preserve"> </w:t>
      </w:r>
      <w:r w:rsidR="00BC03D0" w:rsidRPr="00390B67">
        <w:t xml:space="preserve">component </w:t>
      </w:r>
      <w:r w:rsidR="006C71A3" w:rsidRPr="00390B67">
        <w:t>clusters</w:t>
      </w:r>
      <w:r w:rsidR="00B75EAC">
        <w:t xml:space="preserve"> due to </w:t>
      </w:r>
      <w:r w:rsidR="00911CB0">
        <w:t xml:space="preserve">the integral architecture of the railway </w:t>
      </w:r>
      <w:r w:rsidR="009B3A87">
        <w:t>systems</w:t>
      </w:r>
      <w:r w:rsidR="007A6607" w:rsidRPr="00390B67">
        <w:t xml:space="preserve">. For example, in the case of the HS2 DSM, </w:t>
      </w:r>
      <w:r w:rsidR="00472338" w:rsidRPr="00390B67">
        <w:t xml:space="preserve">the </w:t>
      </w:r>
      <w:r w:rsidR="00165B55" w:rsidRPr="00390B67">
        <w:t xml:space="preserve">local </w:t>
      </w:r>
      <w:r w:rsidR="006749A7" w:rsidRPr="00390B67">
        <w:t>goals</w:t>
      </w:r>
      <w:r w:rsidR="00472338" w:rsidRPr="00390B67">
        <w:t xml:space="preserve"> </w:t>
      </w:r>
      <w:r w:rsidR="00AE1AD7" w:rsidRPr="00390B67">
        <w:t>for each</w:t>
      </w:r>
      <w:r w:rsidR="00C91833" w:rsidRPr="00390B67">
        <w:t xml:space="preserve"> </w:t>
      </w:r>
      <w:r w:rsidR="00472338" w:rsidRPr="00390B67">
        <w:t>station</w:t>
      </w:r>
      <w:r w:rsidR="007A6607" w:rsidRPr="00390B67">
        <w:t xml:space="preserve"> are</w:t>
      </w:r>
      <w:r w:rsidR="00C44F2A" w:rsidRPr="00390B67">
        <w:t xml:space="preserve"> </w:t>
      </w:r>
      <w:r w:rsidR="007A6607" w:rsidRPr="00390B67">
        <w:t>interdependent</w:t>
      </w:r>
      <w:r w:rsidR="004E48C3" w:rsidRPr="00390B67">
        <w:t xml:space="preserve">—the goals </w:t>
      </w:r>
      <w:r w:rsidR="007A6607" w:rsidRPr="00390B67">
        <w:t>need to be</w:t>
      </w:r>
      <w:r w:rsidR="00C44F2A" w:rsidRPr="00390B67">
        <w:t xml:space="preserve"> analogous</w:t>
      </w:r>
      <w:r w:rsidR="00AE1AD7" w:rsidRPr="00390B67">
        <w:t xml:space="preserve"> </w:t>
      </w:r>
      <w:r w:rsidR="007A6607" w:rsidRPr="00390B67">
        <w:t>to</w:t>
      </w:r>
      <w:r w:rsidR="004E48C3" w:rsidRPr="00390B67">
        <w:t xml:space="preserve"> respect equitability</w:t>
      </w:r>
      <w:r w:rsidR="00B63CAE">
        <w:t xml:space="preserve"> of</w:t>
      </w:r>
      <w:r w:rsidR="009B3A87">
        <w:t xml:space="preserve"> </w:t>
      </w:r>
      <w:r w:rsidR="00B63CAE">
        <w:t>investment across</w:t>
      </w:r>
      <w:r w:rsidR="00911CB0">
        <w:t xml:space="preserve"> cities</w:t>
      </w:r>
      <w:r w:rsidR="007A6607" w:rsidRPr="00390B67">
        <w:t xml:space="preserve">. </w:t>
      </w:r>
      <w:r w:rsidR="00B75EAC">
        <w:t>Technological</w:t>
      </w:r>
      <w:r w:rsidR="00251E0C" w:rsidRPr="00390B67">
        <w:t xml:space="preserve"> constraints</w:t>
      </w:r>
      <w:r w:rsidR="00911CB0">
        <w:t xml:space="preserve">, in turn, create interdependency between the </w:t>
      </w:r>
      <w:r w:rsidR="00DB39D8">
        <w:lastRenderedPageBreak/>
        <w:t xml:space="preserve">local </w:t>
      </w:r>
      <w:r w:rsidR="00911CB0">
        <w:t>decisions on station capacity and footprint</w:t>
      </w:r>
      <w:r>
        <w:t>, while</w:t>
      </w:r>
      <w:r w:rsidR="00B75EAC">
        <w:t xml:space="preserve"> </w:t>
      </w:r>
      <w:r w:rsidR="00B63CAE">
        <w:t xml:space="preserve">budgetary </w:t>
      </w:r>
      <w:r w:rsidR="008E7950">
        <w:t xml:space="preserve">constraints </w:t>
      </w:r>
      <w:r w:rsidR="00911CB0">
        <w:t xml:space="preserve">create </w:t>
      </w:r>
      <w:r w:rsidR="00251E0C" w:rsidRPr="00390B67">
        <w:t xml:space="preserve">interdependency </w:t>
      </w:r>
      <w:r w:rsidR="004A6CAA" w:rsidRPr="00390B67">
        <w:t>across</w:t>
      </w:r>
      <w:r w:rsidR="00DB39D8">
        <w:t xml:space="preserve"> all </w:t>
      </w:r>
      <w:r w:rsidR="009B3A87">
        <w:t xml:space="preserve">local </w:t>
      </w:r>
      <w:r w:rsidR="00911CB0">
        <w:t>cost decisions</w:t>
      </w:r>
      <w:r w:rsidR="00E317A6" w:rsidRPr="00390B67">
        <w:t>. Hence</w:t>
      </w:r>
      <w:r>
        <w:t>,</w:t>
      </w:r>
      <w:r w:rsidR="006749A7" w:rsidRPr="00390B67">
        <w:t xml:space="preserve"> </w:t>
      </w:r>
      <w:r w:rsidR="003157DF" w:rsidRPr="00390B67">
        <w:t xml:space="preserve">the </w:t>
      </w:r>
      <w:r w:rsidR="00E64245" w:rsidRPr="00390B67">
        <w:t>railway</w:t>
      </w:r>
      <w:r w:rsidR="00B57347" w:rsidRPr="00390B67">
        <w:t xml:space="preserve"> </w:t>
      </w:r>
      <w:r w:rsidR="006749A7" w:rsidRPr="00390B67">
        <w:t>DSM</w:t>
      </w:r>
      <w:r w:rsidR="00E64245" w:rsidRPr="00390B67">
        <w:t>s are</w:t>
      </w:r>
      <w:r w:rsidR="006749A7" w:rsidRPr="00390B67">
        <w:t xml:space="preserve"> densely populated off the component clusters</w:t>
      </w:r>
      <w:r w:rsidR="001A0483" w:rsidRPr="00390B67">
        <w:t xml:space="preserve">. </w:t>
      </w:r>
      <w:r w:rsidR="00504F2E">
        <w:t>In turn, the</w:t>
      </w:r>
      <w:r w:rsidR="00504F2E" w:rsidRPr="00390B67">
        <w:t xml:space="preserve"> </w:t>
      </w:r>
      <w:r w:rsidR="00E64245" w:rsidRPr="00390B67">
        <w:t>DSM</w:t>
      </w:r>
      <w:r w:rsidR="00856A16" w:rsidRPr="00390B67">
        <w:t xml:space="preserve"> for T2</w:t>
      </w:r>
      <w:r w:rsidR="00B05AF5" w:rsidRPr="00390B67">
        <w:t xml:space="preserve"> </w:t>
      </w:r>
      <w:r w:rsidR="00911CB0">
        <w:t xml:space="preserve">suggests </w:t>
      </w:r>
      <w:r w:rsidR="00F83FC0">
        <w:t xml:space="preserve">a planning problem with </w:t>
      </w:r>
      <w:proofErr w:type="gramStart"/>
      <w:r w:rsidR="00F83FC0">
        <w:t xml:space="preserve">a </w:t>
      </w:r>
      <w:r w:rsidR="009B3A87">
        <w:t>hybrid</w:t>
      </w:r>
      <w:proofErr w:type="gramEnd"/>
      <w:r w:rsidR="009B3A87">
        <w:t xml:space="preserve"> architecture</w:t>
      </w:r>
      <w:r w:rsidR="00856A16" w:rsidRPr="00390B67">
        <w:t xml:space="preserve">: </w:t>
      </w:r>
      <w:r w:rsidR="00911CB0">
        <w:t xml:space="preserve">on the one hand, </w:t>
      </w:r>
      <w:r w:rsidR="00856A16" w:rsidRPr="00390B67">
        <w:t>the cluster of</w:t>
      </w:r>
      <w:r w:rsidR="00911CB0">
        <w:t xml:space="preserve"> </w:t>
      </w:r>
      <w:r w:rsidR="00F83FC0">
        <w:t xml:space="preserve">planning </w:t>
      </w:r>
      <w:r w:rsidR="00911CB0">
        <w:t>decisions</w:t>
      </w:r>
      <w:r w:rsidR="00911CB0" w:rsidRPr="00390B67">
        <w:t xml:space="preserve"> </w:t>
      </w:r>
      <w:r w:rsidR="00856A16" w:rsidRPr="00390B67">
        <w:t xml:space="preserve">for the car park is, apart from </w:t>
      </w:r>
      <w:r w:rsidR="00DC31E8">
        <w:t xml:space="preserve">cost </w:t>
      </w:r>
      <w:r w:rsidR="00911CB0">
        <w:t>interdependenc</w:t>
      </w:r>
      <w:r w:rsidR="00DB39D8">
        <w:t>ies</w:t>
      </w:r>
      <w:r w:rsidR="00856A16" w:rsidRPr="00390B67">
        <w:t>,</w:t>
      </w:r>
      <w:r w:rsidR="00911CB0">
        <w:t xml:space="preserve"> </w:t>
      </w:r>
      <w:r w:rsidR="00856A16" w:rsidRPr="00390B67">
        <w:t xml:space="preserve">independent </w:t>
      </w:r>
      <w:r w:rsidR="008E7950" w:rsidRPr="00390B67">
        <w:t>from the</w:t>
      </w:r>
      <w:r w:rsidR="002B1A15" w:rsidRPr="00390B67">
        <w:t xml:space="preserve"> </w:t>
      </w:r>
      <w:r w:rsidR="004E48C3" w:rsidRPr="00390B67">
        <w:t>concourse</w:t>
      </w:r>
      <w:r w:rsidR="007E3AF8" w:rsidRPr="00390B67">
        <w:t xml:space="preserve"> and baggage </w:t>
      </w:r>
      <w:r w:rsidR="00844AB5" w:rsidRPr="00390B67">
        <w:t>system</w:t>
      </w:r>
      <w:r w:rsidR="00B75EAC">
        <w:t xml:space="preserve"> clusters</w:t>
      </w:r>
      <w:r w:rsidR="00856A16" w:rsidRPr="00390B67">
        <w:t xml:space="preserve">. </w:t>
      </w:r>
      <w:r>
        <w:t>T</w:t>
      </w:r>
      <w:r w:rsidR="00856A16" w:rsidRPr="00390B67">
        <w:t>h</w:t>
      </w:r>
      <w:r w:rsidR="009609A2" w:rsidRPr="00390B67">
        <w:t>e</w:t>
      </w:r>
      <w:r w:rsidR="00C44F2A" w:rsidRPr="00390B67">
        <w:t xml:space="preserve"> two</w:t>
      </w:r>
      <w:r w:rsidR="00416D20" w:rsidRPr="00390B67">
        <w:t xml:space="preserve"> latter</w:t>
      </w:r>
      <w:r w:rsidR="007E3AF8" w:rsidRPr="00390B67">
        <w:t xml:space="preserve"> components are</w:t>
      </w:r>
      <w:r w:rsidR="00856A16" w:rsidRPr="00390B67">
        <w:t xml:space="preserve"> </w:t>
      </w:r>
      <w:r w:rsidR="00F83FC0">
        <w:t xml:space="preserve">physically </w:t>
      </w:r>
      <w:r w:rsidR="004E48C3" w:rsidRPr="00390B67">
        <w:t>connected</w:t>
      </w:r>
      <w:r w:rsidR="00856A16" w:rsidRPr="00390B67">
        <w:t xml:space="preserve">, </w:t>
      </w:r>
      <w:r>
        <w:t xml:space="preserve">however, </w:t>
      </w:r>
      <w:r w:rsidR="00856A16" w:rsidRPr="00390B67">
        <w:t>and thus</w:t>
      </w:r>
      <w:r w:rsidR="004E48C3" w:rsidRPr="00390B67">
        <w:t xml:space="preserve"> the</w:t>
      </w:r>
      <w:r w:rsidR="00911CB0">
        <w:t xml:space="preserve"> decisions on goal, capacity, and footprint </w:t>
      </w:r>
      <w:r w:rsidR="004E48C3" w:rsidRPr="00390B67">
        <w:t>are</w:t>
      </w:r>
      <w:r w:rsidR="00CB4218" w:rsidRPr="00390B67">
        <w:t xml:space="preserve"> </w:t>
      </w:r>
      <w:r w:rsidR="004E48C3" w:rsidRPr="00390B67">
        <w:t>interdependent</w:t>
      </w:r>
      <w:r>
        <w:t>.</w:t>
      </w:r>
    </w:p>
    <w:p w14:paraId="7F4E2B02" w14:textId="2ADDC2E6" w:rsidR="00CB4218" w:rsidRPr="00390B67" w:rsidRDefault="00911CB0" w:rsidP="00911CB0">
      <w:r>
        <w:t>Critically, our</w:t>
      </w:r>
      <w:r w:rsidRPr="00390B67">
        <w:t xml:space="preserve"> </w:t>
      </w:r>
      <w:r w:rsidR="001A0483" w:rsidRPr="00390B67">
        <w:t xml:space="preserve">analysis </w:t>
      </w:r>
      <w:r w:rsidR="00C44F2A" w:rsidRPr="00390B67">
        <w:t>uncover</w:t>
      </w:r>
      <w:r w:rsidR="00C02145">
        <w:t>ed</w:t>
      </w:r>
      <w:r w:rsidR="008E7950">
        <w:t xml:space="preserve"> much</w:t>
      </w:r>
      <w:r w:rsidR="00C250B3">
        <w:t xml:space="preserve"> </w:t>
      </w:r>
      <w:r w:rsidR="001A0483" w:rsidRPr="00390B67">
        <w:t>less variability across</w:t>
      </w:r>
      <w:r w:rsidR="00956738" w:rsidRPr="00390B67">
        <w:t xml:space="preserve"> </w:t>
      </w:r>
      <w:r w:rsidR="002B1A15" w:rsidRPr="00390B67">
        <w:t xml:space="preserve">the </w:t>
      </w:r>
      <w:r w:rsidR="00DD77F3" w:rsidRPr="00665133">
        <w:t>organizational</w:t>
      </w:r>
      <w:r w:rsidR="00DD77F3" w:rsidRPr="00390B67">
        <w:t xml:space="preserve"> </w:t>
      </w:r>
      <w:r w:rsidR="002B1A15" w:rsidRPr="00390B67">
        <w:t>matrices</w:t>
      </w:r>
      <w:r w:rsidR="001A0483" w:rsidRPr="00390B67">
        <w:t xml:space="preserve"> </w:t>
      </w:r>
      <w:r w:rsidR="00B75EAC">
        <w:t xml:space="preserve">that </w:t>
      </w:r>
      <w:r w:rsidR="00504F2E">
        <w:t>show</w:t>
      </w:r>
      <w:r w:rsidR="00A13EB1" w:rsidRPr="00390B67">
        <w:t xml:space="preserve"> </w:t>
      </w:r>
      <w:r>
        <w:t>which actors have decision</w:t>
      </w:r>
      <w:r w:rsidR="001A0483" w:rsidRPr="00390B67">
        <w:t xml:space="preserve"> rights over </w:t>
      </w:r>
      <w:r>
        <w:t xml:space="preserve">which </w:t>
      </w:r>
      <w:r w:rsidR="00CB071F">
        <w:t xml:space="preserve">local </w:t>
      </w:r>
      <w:r>
        <w:t xml:space="preserve">decisions </w:t>
      </w:r>
      <w:r w:rsidR="007E77FF" w:rsidRPr="00390B67">
        <w:t xml:space="preserve">(represented at the right of the </w:t>
      </w:r>
      <w:r w:rsidR="00C91833" w:rsidRPr="00390B67">
        <w:t xml:space="preserve">four </w:t>
      </w:r>
      <w:r w:rsidR="007E77FF" w:rsidRPr="00390B67">
        <w:t>DSMs in Figure 2)</w:t>
      </w:r>
      <w:r w:rsidR="00F87AE4" w:rsidRPr="00390B67">
        <w:t>.</w:t>
      </w:r>
      <w:r w:rsidR="007F7C21" w:rsidRPr="00390B67">
        <w:t xml:space="preserve"> At the highest level, </w:t>
      </w:r>
      <w:r w:rsidR="00C44F2A" w:rsidRPr="00390B67">
        <w:t xml:space="preserve">all </w:t>
      </w:r>
      <w:r w:rsidR="001A0483" w:rsidRPr="00390B67">
        <w:t xml:space="preserve">four </w:t>
      </w:r>
      <w:r w:rsidR="007F7C21" w:rsidRPr="00390B67">
        <w:t>matrices show a top governing body whose membership is restricted to the</w:t>
      </w:r>
      <w:r w:rsidR="00A25777" w:rsidRPr="00390B67">
        <w:t xml:space="preserve"> actors promot</w:t>
      </w:r>
      <w:r w:rsidR="00B63CAE">
        <w:t>ing</w:t>
      </w:r>
      <w:r w:rsidR="007D460A" w:rsidRPr="00390B67">
        <w:t xml:space="preserve"> the project</w:t>
      </w:r>
      <w:r w:rsidR="00A25777" w:rsidRPr="00390B67">
        <w:t xml:space="preserve">. </w:t>
      </w:r>
      <w:r w:rsidR="007F7C21" w:rsidRPr="00390B67">
        <w:t>The promoter</w:t>
      </w:r>
      <w:r w:rsidR="00DB39D8">
        <w:t xml:space="preserve"> </w:t>
      </w:r>
      <w:r w:rsidR="00DB39D8" w:rsidRPr="00390B67">
        <w:t xml:space="preserve">(in coalition or </w:t>
      </w:r>
      <w:r w:rsidR="00C02145">
        <w:t>individually</w:t>
      </w:r>
      <w:r w:rsidR="00DB39D8" w:rsidRPr="00390B67">
        <w:t>)</w:t>
      </w:r>
      <w:r w:rsidR="00DD77F3" w:rsidRPr="00390B67">
        <w:t xml:space="preserve"> and its</w:t>
      </w:r>
      <w:r w:rsidR="00CB4218" w:rsidRPr="00390B67">
        <w:t xml:space="preserve"> </w:t>
      </w:r>
      <w:r w:rsidR="00DD77F3" w:rsidRPr="00390B67">
        <w:t>agent</w:t>
      </w:r>
      <w:r w:rsidR="007F7C21" w:rsidRPr="00390B67">
        <w:t xml:space="preserve"> </w:t>
      </w:r>
      <w:r w:rsidR="00DD77F3" w:rsidRPr="00390B67">
        <w:t>are</w:t>
      </w:r>
      <w:r w:rsidR="007F7C21" w:rsidRPr="00390B67">
        <w:t xml:space="preserve"> </w:t>
      </w:r>
      <w:r w:rsidR="004F1E04" w:rsidRPr="00390B67">
        <w:t>embedded</w:t>
      </w:r>
      <w:r w:rsidR="005A3BD8" w:rsidRPr="00390B67">
        <w:t xml:space="preserve"> in all </w:t>
      </w:r>
      <w:r>
        <w:t>decisions</w:t>
      </w:r>
      <w:r w:rsidR="007E77FF" w:rsidRPr="00390B67">
        <w:t xml:space="preserve"> </w:t>
      </w:r>
      <w:r w:rsidR="007F7C21" w:rsidRPr="00390B67">
        <w:t xml:space="preserve">since </w:t>
      </w:r>
      <w:r w:rsidR="00DD77F3" w:rsidRPr="00390B67">
        <w:t>they</w:t>
      </w:r>
      <w:r w:rsidR="004C7EB7" w:rsidRPr="00390B67">
        <w:t xml:space="preserve"> are financi</w:t>
      </w:r>
      <w:r w:rsidR="00D35491">
        <w:t>ng the project</w:t>
      </w:r>
      <w:r w:rsidR="004C7EB7" w:rsidRPr="00390B67">
        <w:t xml:space="preserve"> and </w:t>
      </w:r>
      <w:r w:rsidR="007F7C21" w:rsidRPr="00390B67">
        <w:t>accountable for</w:t>
      </w:r>
      <w:r w:rsidR="009609A2" w:rsidRPr="00390B67">
        <w:t xml:space="preserve"> </w:t>
      </w:r>
      <w:r w:rsidR="007F7C21" w:rsidRPr="00390B67">
        <w:t xml:space="preserve">performance. For example, in the HS2 case, </w:t>
      </w:r>
      <w:r w:rsidR="001650A4" w:rsidRPr="00390B67">
        <w:t xml:space="preserve">the </w:t>
      </w:r>
      <w:r w:rsidR="009609A2" w:rsidRPr="00390B67">
        <w:t>UK</w:t>
      </w:r>
      <w:r w:rsidR="007F7C21" w:rsidRPr="00390B67">
        <w:t xml:space="preserve"> governmen</w:t>
      </w:r>
      <w:r w:rsidR="007E77FF" w:rsidRPr="00390B67">
        <w:t>t</w:t>
      </w:r>
      <w:r w:rsidR="007F7C21" w:rsidRPr="00390B67">
        <w:t xml:space="preserve"> </w:t>
      </w:r>
      <w:r w:rsidR="00DD77F3" w:rsidRPr="00390B67">
        <w:t xml:space="preserve">and </w:t>
      </w:r>
      <w:r w:rsidR="001650A4" w:rsidRPr="00390B67">
        <w:t xml:space="preserve">its agent, </w:t>
      </w:r>
      <w:r w:rsidR="00DD77F3" w:rsidRPr="00390B67">
        <w:t>HS2 Ltd.</w:t>
      </w:r>
      <w:r w:rsidR="001650A4" w:rsidRPr="00390B67">
        <w:t>,</w:t>
      </w:r>
      <w:r w:rsidR="00DD77F3" w:rsidRPr="00390B67">
        <w:t xml:space="preserve"> </w:t>
      </w:r>
      <w:r w:rsidR="007F7C21" w:rsidRPr="00390B67">
        <w:t>direc</w:t>
      </w:r>
      <w:r w:rsidR="009609A2" w:rsidRPr="00390B67">
        <w:t>tly influence</w:t>
      </w:r>
      <w:r w:rsidR="00C02145">
        <w:t>d</w:t>
      </w:r>
      <w:r w:rsidR="009609A2" w:rsidRPr="00390B67">
        <w:t xml:space="preserve"> all</w:t>
      </w:r>
      <w:r w:rsidR="007E77FF" w:rsidRPr="00390B67">
        <w:t xml:space="preserve"> </w:t>
      </w:r>
      <w:r>
        <w:t xml:space="preserve">local </w:t>
      </w:r>
      <w:r w:rsidR="00CB071F">
        <w:t xml:space="preserve">planning </w:t>
      </w:r>
      <w:r>
        <w:t>decisions</w:t>
      </w:r>
      <w:r w:rsidR="007F7C21" w:rsidRPr="00390B67">
        <w:t xml:space="preserve">. </w:t>
      </w:r>
      <w:r w:rsidR="007E77FF" w:rsidRPr="00390B67">
        <w:t>Likewise</w:t>
      </w:r>
      <w:r w:rsidR="007F7C21" w:rsidRPr="00390B67">
        <w:t>, in t</w:t>
      </w:r>
      <w:r w:rsidR="004F1E04" w:rsidRPr="00390B67">
        <w:t>he Olympic P</w:t>
      </w:r>
      <w:r w:rsidR="007F7C21" w:rsidRPr="00390B67">
        <w:t xml:space="preserve">ark case, </w:t>
      </w:r>
      <w:r w:rsidR="007E77FF" w:rsidRPr="00390B67">
        <w:t xml:space="preserve">the </w:t>
      </w:r>
      <w:r w:rsidR="004C7EB7" w:rsidRPr="00390B67">
        <w:t>four promoter</w:t>
      </w:r>
      <w:r w:rsidR="007F7C21" w:rsidRPr="00390B67">
        <w:t xml:space="preserve">s </w:t>
      </w:r>
      <w:r w:rsidR="00DD77F3" w:rsidRPr="00390B67">
        <w:t>and their agent,</w:t>
      </w:r>
      <w:r w:rsidR="001650A4" w:rsidRPr="00390B67">
        <w:t xml:space="preserve"> the </w:t>
      </w:r>
      <w:r w:rsidR="009609A2" w:rsidRPr="00390B67">
        <w:t>O</w:t>
      </w:r>
      <w:r>
        <w:t>lympic Delivery Authority (O</w:t>
      </w:r>
      <w:r w:rsidR="009609A2" w:rsidRPr="00390B67">
        <w:t>DA</w:t>
      </w:r>
      <w:r>
        <w:t>)</w:t>
      </w:r>
      <w:r w:rsidR="001650A4" w:rsidRPr="00390B67">
        <w:t>,</w:t>
      </w:r>
      <w:r w:rsidR="00DD77F3" w:rsidRPr="00390B67">
        <w:t xml:space="preserve"> </w:t>
      </w:r>
      <w:r>
        <w:t>share</w:t>
      </w:r>
      <w:r w:rsidR="00C02145">
        <w:t>d</w:t>
      </w:r>
      <w:r>
        <w:t xml:space="preserve"> decision rights over</w:t>
      </w:r>
      <w:r w:rsidR="00DD77F3" w:rsidRPr="00390B67">
        <w:t xml:space="preserve"> all </w:t>
      </w:r>
      <w:r w:rsidR="00CB071F">
        <w:t xml:space="preserve">the </w:t>
      </w:r>
      <w:r>
        <w:t>local</w:t>
      </w:r>
      <w:r w:rsidR="00CB071F">
        <w:t xml:space="preserve"> planning</w:t>
      </w:r>
      <w:r>
        <w:t xml:space="preserve"> decisions through the Olympic board</w:t>
      </w:r>
      <w:r w:rsidR="00DD77F3" w:rsidRPr="00390B67">
        <w:t>.</w:t>
      </w:r>
      <w:r>
        <w:t xml:space="preserve"> </w:t>
      </w:r>
      <w:r w:rsidR="004F1E04" w:rsidRPr="00390B67">
        <w:t>One</w:t>
      </w:r>
      <w:r w:rsidR="007F7C21" w:rsidRPr="00390B67">
        <w:t xml:space="preserve"> level down,</w:t>
      </w:r>
      <w:r w:rsidR="00A13EB1" w:rsidRPr="00390B67">
        <w:t xml:space="preserve"> and</w:t>
      </w:r>
      <w:r w:rsidR="007F7C21" w:rsidRPr="00390B67">
        <w:t xml:space="preserve"> </w:t>
      </w:r>
      <w:r w:rsidR="00A13EB1" w:rsidRPr="00390B67">
        <w:t xml:space="preserve">consistent with </w:t>
      </w:r>
      <w:r w:rsidR="003B25FD">
        <w:t>a</w:t>
      </w:r>
      <w:r w:rsidR="00A13EB1" w:rsidRPr="00390B67">
        <w:t xml:space="preserve"> polycentric </w:t>
      </w:r>
      <w:r w:rsidR="008E7950">
        <w:t>architecture</w:t>
      </w:r>
      <w:r w:rsidR="00A13EB1" w:rsidRPr="00390B67">
        <w:t xml:space="preserve">, </w:t>
      </w:r>
      <w:r w:rsidR="007F7C21" w:rsidRPr="00390B67">
        <w:t xml:space="preserve">the organizational matrices show </w:t>
      </w:r>
      <w:r w:rsidR="009609A2" w:rsidRPr="00390B67">
        <w:t>a fragmented</w:t>
      </w:r>
      <w:r w:rsidR="002953F7" w:rsidRPr="00390B67">
        <w:t xml:space="preserve"> </w:t>
      </w:r>
      <w:r w:rsidR="007F7C21" w:rsidRPr="00390B67">
        <w:t xml:space="preserve">structure of </w:t>
      </w:r>
      <w:r w:rsidR="003F308C" w:rsidRPr="00390B67">
        <w:t>working group</w:t>
      </w:r>
      <w:r w:rsidR="000E6361" w:rsidRPr="00390B67">
        <w:t>s</w:t>
      </w:r>
      <w:r w:rsidR="007D460A" w:rsidRPr="00390B67">
        <w:t>—</w:t>
      </w:r>
      <w:r w:rsidR="003F308C" w:rsidRPr="00390B67">
        <w:t xml:space="preserve">so-called </w:t>
      </w:r>
      <w:r w:rsidR="004F1E04" w:rsidRPr="00390B67">
        <w:t>‘</w:t>
      </w:r>
      <w:r w:rsidR="003F308C" w:rsidRPr="00390B67">
        <w:t>project board</w:t>
      </w:r>
      <w:r w:rsidR="000E6361" w:rsidRPr="00390B67">
        <w:t>s</w:t>
      </w:r>
      <w:r w:rsidR="004F1E04" w:rsidRPr="00390B67">
        <w:t>’</w:t>
      </w:r>
      <w:r w:rsidR="007F7C21" w:rsidRPr="00390B67">
        <w:t xml:space="preserve">. </w:t>
      </w:r>
      <w:r w:rsidR="000A0756">
        <w:t xml:space="preserve">The </w:t>
      </w:r>
      <w:r w:rsidR="00DB39D8">
        <w:t xml:space="preserve">project </w:t>
      </w:r>
      <w:r w:rsidR="00DB39D8" w:rsidRPr="00390B67">
        <w:t>board</w:t>
      </w:r>
      <w:r w:rsidR="00DB39D8">
        <w:t xml:space="preserve"> </w:t>
      </w:r>
      <w:r w:rsidR="000A0756">
        <w:t>members</w:t>
      </w:r>
      <w:r w:rsidR="00DB39D8">
        <w:t>—</w:t>
      </w:r>
      <w:r w:rsidR="000A0756" w:rsidRPr="00390B67">
        <w:t xml:space="preserve">local resource-rich </w:t>
      </w:r>
      <w:r w:rsidR="000A0756">
        <w:t>actors</w:t>
      </w:r>
      <w:r w:rsidR="000A0756" w:rsidRPr="00390B67">
        <w:t xml:space="preserve"> and the promoter’s agent</w:t>
      </w:r>
      <w:r w:rsidR="000A0756">
        <w:t>—share</w:t>
      </w:r>
      <w:r w:rsidR="00B63CAE">
        <w:t xml:space="preserve"> </w:t>
      </w:r>
      <w:r w:rsidR="000A0756">
        <w:t>decision rights</w:t>
      </w:r>
      <w:r w:rsidR="00CB071F">
        <w:t xml:space="preserve"> over planning choices</w:t>
      </w:r>
      <w:r w:rsidR="00B63CAE">
        <w:t>.</w:t>
      </w:r>
      <w:r w:rsidR="000A0756">
        <w:t xml:space="preserve"> </w:t>
      </w:r>
      <w:r w:rsidR="00B63CAE">
        <w:t xml:space="preserve">But </w:t>
      </w:r>
      <w:r w:rsidR="000A0756">
        <w:t>the</w:t>
      </w:r>
      <w:r w:rsidR="002B1A15" w:rsidRPr="00390B67">
        <w:t xml:space="preserve"> </w:t>
      </w:r>
      <w:r w:rsidR="00ED7103" w:rsidRPr="00390B67">
        <w:t>project board</w:t>
      </w:r>
      <w:r w:rsidR="000A0756">
        <w:t>s</w:t>
      </w:r>
      <w:r w:rsidR="00ED7103" w:rsidRPr="00390B67">
        <w:t xml:space="preserve"> </w:t>
      </w:r>
      <w:r w:rsidR="000A0756">
        <w:t>are</w:t>
      </w:r>
      <w:r w:rsidR="007D460A" w:rsidRPr="00390B67">
        <w:t xml:space="preserve"> </w:t>
      </w:r>
      <w:r w:rsidR="007F7C21" w:rsidRPr="00390B67">
        <w:t xml:space="preserve">closed to opponents and resource-poor actors (although consultation reaches all </w:t>
      </w:r>
      <w:r w:rsidR="004F1E04" w:rsidRPr="00390B67">
        <w:t>affected parties</w:t>
      </w:r>
      <w:r w:rsidR="007F7C21" w:rsidRPr="00390B67">
        <w:t xml:space="preserve">). </w:t>
      </w:r>
    </w:p>
    <w:p w14:paraId="37C04A2E" w14:textId="08084837" w:rsidR="00911CB0" w:rsidRDefault="00C876DF" w:rsidP="00911CB0">
      <w:r w:rsidRPr="00390B67">
        <w:t>Table 2</w:t>
      </w:r>
      <w:r w:rsidR="00DB39D8">
        <w:t xml:space="preserve"> and Figure 2</w:t>
      </w:r>
      <w:r w:rsidR="004F1E04" w:rsidRPr="00390B67">
        <w:t xml:space="preserve"> </w:t>
      </w:r>
      <w:r w:rsidR="00DB39D8">
        <w:t>also</w:t>
      </w:r>
      <w:r w:rsidR="00911CB0" w:rsidRPr="00390B67">
        <w:t xml:space="preserve"> </w:t>
      </w:r>
      <w:r w:rsidR="00DB39D8">
        <w:t>show</w:t>
      </w:r>
      <w:r w:rsidRPr="00390B67">
        <w:t xml:space="preserve"> </w:t>
      </w:r>
      <w:r w:rsidR="00DB39D8">
        <w:t>how the</w:t>
      </w:r>
      <w:r w:rsidR="00911CB0">
        <w:t xml:space="preserve"> </w:t>
      </w:r>
      <w:r w:rsidRPr="00390B67">
        <w:t xml:space="preserve">influence of </w:t>
      </w:r>
      <w:r w:rsidR="00911CB0">
        <w:t>the local actors</w:t>
      </w:r>
      <w:r w:rsidRPr="00390B67">
        <w:t xml:space="preserve"> </w:t>
      </w:r>
      <w:r w:rsidR="00DB39D8">
        <w:t>is restricted to specific components</w:t>
      </w:r>
      <w:r w:rsidRPr="00390B67">
        <w:t>.</w:t>
      </w:r>
      <w:r w:rsidR="00CB4218" w:rsidRPr="00390B67">
        <w:t xml:space="preserve"> </w:t>
      </w:r>
      <w:r w:rsidR="007F7C21" w:rsidRPr="00390B67">
        <w:t>For example,</w:t>
      </w:r>
      <w:r w:rsidR="00CB4218" w:rsidRPr="00390B67">
        <w:t xml:space="preserve"> </w:t>
      </w:r>
      <w:r w:rsidR="00911CB0">
        <w:t>the UK government and its agent, HS2 Ltd, share decision rights</w:t>
      </w:r>
      <w:r w:rsidR="00C70511" w:rsidRPr="00390B67">
        <w:t xml:space="preserve"> for </w:t>
      </w:r>
      <w:r w:rsidR="00C70511">
        <w:t xml:space="preserve">the HS2 </w:t>
      </w:r>
      <w:r w:rsidR="00C70511" w:rsidRPr="00390B67">
        <w:t>Euston Station</w:t>
      </w:r>
      <w:r w:rsidR="00911CB0">
        <w:t xml:space="preserve"> plans</w:t>
      </w:r>
      <w:r w:rsidR="00C70511" w:rsidRPr="00390B67">
        <w:t xml:space="preserve"> </w:t>
      </w:r>
      <w:r w:rsidR="00911CB0">
        <w:t xml:space="preserve">with </w:t>
      </w:r>
      <w:r w:rsidR="007F7C21" w:rsidRPr="00390B67">
        <w:t>the London</w:t>
      </w:r>
      <w:r w:rsidR="009609A2" w:rsidRPr="00390B67">
        <w:t xml:space="preserve"> government</w:t>
      </w:r>
      <w:r w:rsidR="00922944">
        <w:t>,</w:t>
      </w:r>
      <w:r w:rsidR="007F7C21" w:rsidRPr="00390B67">
        <w:t xml:space="preserve"> </w:t>
      </w:r>
      <w:r w:rsidR="00DD77F3" w:rsidRPr="00390B67">
        <w:lastRenderedPageBreak/>
        <w:t>Transport for London</w:t>
      </w:r>
      <w:r w:rsidR="00CB4218" w:rsidRPr="00390B67">
        <w:t xml:space="preserve"> </w:t>
      </w:r>
      <w:r w:rsidR="00922944">
        <w:t>(a local transport agency)</w:t>
      </w:r>
      <w:r w:rsidR="00D35491">
        <w:t>,</w:t>
      </w:r>
      <w:r w:rsidR="00922944">
        <w:t xml:space="preserve"> and</w:t>
      </w:r>
      <w:r w:rsidR="003B25FD" w:rsidRPr="00390B67">
        <w:t xml:space="preserve"> </w:t>
      </w:r>
      <w:r w:rsidR="00CB4218" w:rsidRPr="00390B67">
        <w:t>Camden Council (</w:t>
      </w:r>
      <w:r w:rsidR="003B25FD">
        <w:t xml:space="preserve">local </w:t>
      </w:r>
      <w:r w:rsidR="00911CB0">
        <w:t>regulator of</w:t>
      </w:r>
      <w:r w:rsidR="007D460A" w:rsidRPr="00390B67">
        <w:t xml:space="preserve"> land use</w:t>
      </w:r>
      <w:r w:rsidR="00CB4218" w:rsidRPr="00390B67">
        <w:t>)</w:t>
      </w:r>
      <w:r w:rsidR="000D4478">
        <w:t>; as one respondent said, “y</w:t>
      </w:r>
      <w:r w:rsidR="000D4478" w:rsidRPr="00390B67">
        <w:t>ou could make HS2</w:t>
      </w:r>
      <w:r w:rsidR="00F90C59">
        <w:t xml:space="preserve"> Ltd</w:t>
      </w:r>
      <w:r w:rsidR="000D4478" w:rsidRPr="00390B67">
        <w:t xml:space="preserve"> its own planning authority [but] that would flout democratic processes</w:t>
      </w:r>
      <w:r w:rsidR="000D4478">
        <w:t>.”</w:t>
      </w:r>
      <w:r w:rsidR="00922944">
        <w:t xml:space="preserve"> </w:t>
      </w:r>
      <w:r w:rsidR="004F1E04" w:rsidRPr="00390B67">
        <w:t>Similarly</w:t>
      </w:r>
      <w:r w:rsidR="003309C5" w:rsidRPr="00390B67">
        <w:t xml:space="preserve">, </w:t>
      </w:r>
      <w:r w:rsidR="007F7C21" w:rsidRPr="00390B67">
        <w:t xml:space="preserve">the </w:t>
      </w:r>
      <w:r w:rsidR="00F90C59">
        <w:t>U</w:t>
      </w:r>
      <w:r w:rsidR="00D11C7E">
        <w:t>K</w:t>
      </w:r>
      <w:r w:rsidR="00F90C59">
        <w:t xml:space="preserve"> government shares </w:t>
      </w:r>
      <w:r w:rsidR="00CB071F">
        <w:t xml:space="preserve">decision rights on the plan for the </w:t>
      </w:r>
      <w:r w:rsidR="00CB071F" w:rsidRPr="00390B67">
        <w:t>Manchester station</w:t>
      </w:r>
      <w:r w:rsidR="00CB071F">
        <w:t xml:space="preserve"> </w:t>
      </w:r>
      <w:r w:rsidR="00F90C59">
        <w:t xml:space="preserve">with the </w:t>
      </w:r>
      <w:r w:rsidR="007F7C21" w:rsidRPr="00390B67">
        <w:t xml:space="preserve">Manchester </w:t>
      </w:r>
      <w:r w:rsidR="007E77FF" w:rsidRPr="00390B67">
        <w:t>government</w:t>
      </w:r>
      <w:r w:rsidR="00CB071F">
        <w:t xml:space="preserve">, the </w:t>
      </w:r>
      <w:r w:rsidR="00C02145">
        <w:t>T</w:t>
      </w:r>
      <w:r w:rsidR="00DD77F3" w:rsidRPr="00390B67">
        <w:t>ransport for Greater Manchester</w:t>
      </w:r>
      <w:r w:rsidR="00CB071F">
        <w:t xml:space="preserve">, </w:t>
      </w:r>
      <w:r w:rsidR="00C02145">
        <w:t xml:space="preserve">and </w:t>
      </w:r>
      <w:r w:rsidR="009609A2" w:rsidRPr="00390B67">
        <w:t>other local actors</w:t>
      </w:r>
      <w:r w:rsidR="00CB071F">
        <w:t>.</w:t>
      </w:r>
      <w:r w:rsidR="007F7C21" w:rsidRPr="00390B67">
        <w:t xml:space="preserve"> </w:t>
      </w:r>
      <w:r w:rsidR="00C02145">
        <w:t>Moreover,</w:t>
      </w:r>
      <w:r w:rsidR="00911CB0">
        <w:t xml:space="preserve"> </w:t>
      </w:r>
      <w:r w:rsidR="00922944">
        <w:t xml:space="preserve">the </w:t>
      </w:r>
      <w:r w:rsidR="00911CB0">
        <w:t xml:space="preserve">London actors do not participate </w:t>
      </w:r>
      <w:r w:rsidR="00922944">
        <w:t>in the Manchester planning talks</w:t>
      </w:r>
      <w:r w:rsidR="00911CB0">
        <w:t xml:space="preserve"> and vice-versa. </w:t>
      </w:r>
      <w:r w:rsidR="00F86A0F" w:rsidRPr="00390B67">
        <w:t xml:space="preserve">Likewise, in the </w:t>
      </w:r>
      <w:r w:rsidR="004F1E04" w:rsidRPr="00390B67">
        <w:t>Olympic P</w:t>
      </w:r>
      <w:r w:rsidR="007E77FF" w:rsidRPr="00390B67">
        <w:t xml:space="preserve">ark </w:t>
      </w:r>
      <w:r w:rsidR="00F86A0F" w:rsidRPr="00390B67">
        <w:t xml:space="preserve">case, </w:t>
      </w:r>
      <w:r w:rsidR="007E77FF" w:rsidRPr="00390B67">
        <w:t xml:space="preserve">for </w:t>
      </w:r>
      <w:r w:rsidR="000112C4" w:rsidRPr="00390B67">
        <w:t>each</w:t>
      </w:r>
      <w:r w:rsidR="00844AB5" w:rsidRPr="00390B67">
        <w:t xml:space="preserve"> </w:t>
      </w:r>
      <w:r w:rsidR="00911CB0">
        <w:t xml:space="preserve">sport </w:t>
      </w:r>
      <w:r w:rsidR="000112C4" w:rsidRPr="00390B67">
        <w:t>venue</w:t>
      </w:r>
      <w:r w:rsidR="007E77FF" w:rsidRPr="00390B67">
        <w:t>,</w:t>
      </w:r>
      <w:r w:rsidR="000112C4" w:rsidRPr="00390B67">
        <w:t xml:space="preserve"> </w:t>
      </w:r>
      <w:r w:rsidR="00911CB0">
        <w:t xml:space="preserve">a </w:t>
      </w:r>
      <w:r w:rsidR="00E601C7" w:rsidRPr="00390B67">
        <w:t>different</w:t>
      </w:r>
      <w:r w:rsidR="005842A7" w:rsidRPr="00390B67">
        <w:t xml:space="preserve"> </w:t>
      </w:r>
      <w:r w:rsidR="00911CB0">
        <w:t xml:space="preserve">group of </w:t>
      </w:r>
      <w:r w:rsidR="00A54977" w:rsidRPr="00390B67">
        <w:t>sport bodies and other</w:t>
      </w:r>
      <w:r w:rsidR="00911CB0">
        <w:t xml:space="preserve"> </w:t>
      </w:r>
      <w:r w:rsidR="00922944">
        <w:t xml:space="preserve">local </w:t>
      </w:r>
      <w:r w:rsidR="00911CB0">
        <w:t>actors</w:t>
      </w:r>
      <w:r w:rsidR="00A54977" w:rsidRPr="00390B67">
        <w:t xml:space="preserve"> </w:t>
      </w:r>
      <w:r w:rsidR="00CB4218" w:rsidRPr="00390B67">
        <w:t xml:space="preserve">directly </w:t>
      </w:r>
      <w:r w:rsidR="00911CB0">
        <w:t>shared decision rights with the promoter</w:t>
      </w:r>
      <w:r w:rsidR="007E77FF" w:rsidRPr="00390B67">
        <w:t>.</w:t>
      </w:r>
    </w:p>
    <w:p w14:paraId="4742E705" w14:textId="31D4E76B" w:rsidR="00963512" w:rsidRPr="00390B67" w:rsidRDefault="00141357" w:rsidP="00911CB0">
      <w:r w:rsidRPr="00390B67">
        <w:t xml:space="preserve"> </w:t>
      </w:r>
      <w:r w:rsidR="00B90DA1" w:rsidRPr="00390B67">
        <w:t xml:space="preserve">In sum, </w:t>
      </w:r>
      <w:r w:rsidR="00F25483" w:rsidRPr="00390B67">
        <w:t xml:space="preserve">our </w:t>
      </w:r>
      <w:r w:rsidR="00911CB0">
        <w:t xml:space="preserve">DSM </w:t>
      </w:r>
      <w:r w:rsidR="00AC4A31">
        <w:t>analysis</w:t>
      </w:r>
      <w:r w:rsidR="00AC4A31" w:rsidRPr="00390B67">
        <w:t xml:space="preserve"> </w:t>
      </w:r>
      <w:r w:rsidR="00922944">
        <w:t>establishes</w:t>
      </w:r>
      <w:r w:rsidR="00911CB0">
        <w:t xml:space="preserve"> the following insights</w:t>
      </w:r>
      <w:r w:rsidR="008E7950">
        <w:t>.</w:t>
      </w:r>
      <w:r w:rsidR="00911CB0">
        <w:t xml:space="preserve"> </w:t>
      </w:r>
      <w:r w:rsidR="00D1212C" w:rsidRPr="00390B67">
        <w:t>First</w:t>
      </w:r>
      <w:r w:rsidR="00C02145">
        <w:t>,</w:t>
      </w:r>
      <w:r w:rsidR="00D1212C" w:rsidRPr="00390B67">
        <w:t xml:space="preserve"> </w:t>
      </w:r>
      <w:r w:rsidR="00911CB0">
        <w:t xml:space="preserve">we </w:t>
      </w:r>
      <w:r w:rsidR="000A0756">
        <w:t>consistently f</w:t>
      </w:r>
      <w:r w:rsidR="00C02145">
        <w:t>ou</w:t>
      </w:r>
      <w:r w:rsidR="000A0756">
        <w:t>nd</w:t>
      </w:r>
      <w:r w:rsidR="00911CB0">
        <w:t xml:space="preserve"> </w:t>
      </w:r>
      <w:r w:rsidR="00ED4213" w:rsidRPr="00390B67">
        <w:t>a</w:t>
      </w:r>
      <w:r w:rsidR="00582261" w:rsidRPr="00390B67">
        <w:t xml:space="preserve"> </w:t>
      </w:r>
      <w:r w:rsidR="00ED4213" w:rsidRPr="00390B67">
        <w:t xml:space="preserve">degree of decomposability </w:t>
      </w:r>
      <w:r w:rsidR="00582261" w:rsidRPr="00390B67">
        <w:t xml:space="preserve">of </w:t>
      </w:r>
      <w:r w:rsidR="00AC4A31">
        <w:t>the</w:t>
      </w:r>
      <w:r w:rsidR="00911CB0">
        <w:t xml:space="preserve"> planning problem</w:t>
      </w:r>
      <w:r w:rsidR="00F63964" w:rsidRPr="00390B67">
        <w:t xml:space="preserve">. </w:t>
      </w:r>
      <w:r w:rsidR="00911CB0">
        <w:t xml:space="preserve">As expected, this </w:t>
      </w:r>
      <w:r w:rsidR="00B60D4F" w:rsidRPr="00390B67">
        <w:t xml:space="preserve">decomposability is </w:t>
      </w:r>
      <w:r w:rsidR="00911CB0">
        <w:t>high</w:t>
      </w:r>
      <w:r w:rsidR="00B60D4F" w:rsidRPr="00390B67">
        <w:t xml:space="preserve"> for </w:t>
      </w:r>
      <w:r w:rsidR="003B25FD">
        <w:t>modular</w:t>
      </w:r>
      <w:r w:rsidR="00911CB0">
        <w:t xml:space="preserve"> </w:t>
      </w:r>
      <w:r w:rsidR="000A0756">
        <w:t xml:space="preserve">systems like an </w:t>
      </w:r>
      <w:r w:rsidR="00B60D4F" w:rsidRPr="00390B67">
        <w:t>Olympic</w:t>
      </w:r>
      <w:r w:rsidR="00C515C9" w:rsidRPr="00390B67">
        <w:t xml:space="preserve"> park</w:t>
      </w:r>
      <w:r w:rsidR="00911CB0">
        <w:t xml:space="preserve">, but low for </w:t>
      </w:r>
      <w:r w:rsidR="003B25FD">
        <w:t>integral</w:t>
      </w:r>
      <w:r w:rsidR="000A0756">
        <w:t xml:space="preserve"> systems like a railway</w:t>
      </w:r>
      <w:r w:rsidR="00B60D4F" w:rsidRPr="00390B67">
        <w:t>.</w:t>
      </w:r>
      <w:r w:rsidR="00F63964" w:rsidRPr="00390B67">
        <w:t xml:space="preserve"> </w:t>
      </w:r>
      <w:r w:rsidR="00D1212C" w:rsidRPr="00390B67">
        <w:t>Second</w:t>
      </w:r>
      <w:r w:rsidR="00524A1B" w:rsidRPr="00390B67">
        <w:t xml:space="preserve">, </w:t>
      </w:r>
      <w:r w:rsidR="00911CB0">
        <w:t>we f</w:t>
      </w:r>
      <w:r w:rsidR="00C02145">
        <w:t>ou</w:t>
      </w:r>
      <w:r w:rsidR="00911CB0">
        <w:t xml:space="preserve">nd no </w:t>
      </w:r>
      <w:r w:rsidR="00A13EB1" w:rsidRPr="00390B67">
        <w:t>evidence of</w:t>
      </w:r>
      <w:r w:rsidR="00343886" w:rsidRPr="00390B67">
        <w:t xml:space="preserve"> </w:t>
      </w:r>
      <w:r w:rsidR="009640C4" w:rsidRPr="00390B67">
        <w:t>stric</w:t>
      </w:r>
      <w:r w:rsidR="00C515C9" w:rsidRPr="00390B67">
        <w:t>t</w:t>
      </w:r>
      <w:r w:rsidR="009640C4" w:rsidRPr="00390B67">
        <w:t xml:space="preserve"> modular </w:t>
      </w:r>
      <w:r w:rsidR="00911CB0">
        <w:t xml:space="preserve">planning </w:t>
      </w:r>
      <w:r w:rsidR="009640C4" w:rsidRPr="00390B67">
        <w:t>problems</w:t>
      </w:r>
      <w:r w:rsidR="00911CB0">
        <w:t xml:space="preserve"> because of</w:t>
      </w:r>
      <w:r w:rsidR="003B25FD">
        <w:t xml:space="preserve"> the</w:t>
      </w:r>
      <w:r w:rsidR="00911CB0">
        <w:t xml:space="preserve"> interdependencies between local cost forecasts</w:t>
      </w:r>
      <w:r w:rsidR="00C250B3">
        <w:t>.</w:t>
      </w:r>
      <w:r w:rsidR="00C571B4" w:rsidRPr="00390B67">
        <w:t xml:space="preserve"> </w:t>
      </w:r>
      <w:r w:rsidR="00C02145">
        <w:t>T</w:t>
      </w:r>
      <w:r w:rsidR="00922944">
        <w:t>hird, we</w:t>
      </w:r>
      <w:r w:rsidR="00F24DD4" w:rsidRPr="00390B67">
        <w:t xml:space="preserve"> </w:t>
      </w:r>
      <w:r w:rsidR="00911CB0">
        <w:t>uncover</w:t>
      </w:r>
      <w:r w:rsidR="00C02145">
        <w:t>ed</w:t>
      </w:r>
      <w:r w:rsidR="00911CB0">
        <w:t xml:space="preserve"> a</w:t>
      </w:r>
      <w:r w:rsidR="00911CB0" w:rsidRPr="00390B67">
        <w:t xml:space="preserve"> </w:t>
      </w:r>
      <w:r w:rsidR="007D460A" w:rsidRPr="00390B67">
        <w:t xml:space="preserve">polycentric </w:t>
      </w:r>
      <w:r w:rsidR="00911CB0">
        <w:t xml:space="preserve">architecture </w:t>
      </w:r>
      <w:r w:rsidR="000A0756">
        <w:t xml:space="preserve">irrespective of </w:t>
      </w:r>
      <w:r w:rsidR="00DB39D8">
        <w:t xml:space="preserve">the </w:t>
      </w:r>
      <w:r w:rsidR="000A0756">
        <w:t xml:space="preserve">product architecture or </w:t>
      </w:r>
      <w:r w:rsidR="00DB39D8">
        <w:t xml:space="preserve">project </w:t>
      </w:r>
      <w:r w:rsidR="000A0756">
        <w:t>context</w:t>
      </w:r>
      <w:r w:rsidR="00927C9E" w:rsidRPr="00390B67">
        <w:t>.</w:t>
      </w:r>
      <w:r w:rsidR="00911CB0">
        <w:t xml:space="preserve"> In this </w:t>
      </w:r>
      <w:r w:rsidR="00F90C59">
        <w:t>organizational</w:t>
      </w:r>
      <w:r w:rsidR="00F90C59" w:rsidDel="00F90C59">
        <w:t xml:space="preserve"> </w:t>
      </w:r>
      <w:r w:rsidR="00F90C59">
        <w:t>design</w:t>
      </w:r>
      <w:r w:rsidR="00911CB0">
        <w:t>,</w:t>
      </w:r>
      <w:r w:rsidR="00927C9E" w:rsidRPr="00390B67">
        <w:t xml:space="preserve"> </w:t>
      </w:r>
      <w:r w:rsidR="00BE01C9" w:rsidRPr="00390B67">
        <w:t>the</w:t>
      </w:r>
      <w:r w:rsidR="00174DC2" w:rsidRPr="00390B67">
        <w:t xml:space="preserve"> </w:t>
      </w:r>
      <w:r w:rsidR="00ED4213" w:rsidRPr="00390B67">
        <w:t>promoter</w:t>
      </w:r>
      <w:r w:rsidR="000A701F">
        <w:t xml:space="preserve"> </w:t>
      </w:r>
      <w:r w:rsidR="00D1212C" w:rsidRPr="00390B67">
        <w:t xml:space="preserve">and its agent </w:t>
      </w:r>
      <w:r w:rsidR="009B5399" w:rsidRPr="00390B67">
        <w:t>have</w:t>
      </w:r>
      <w:r w:rsidR="00174DC2" w:rsidRPr="00390B67">
        <w:t xml:space="preserve"> </w:t>
      </w:r>
      <w:r w:rsidR="00911CB0">
        <w:t xml:space="preserve">decision-making </w:t>
      </w:r>
      <w:r w:rsidR="00F24DD4" w:rsidRPr="00390B67">
        <w:t>authority over</w:t>
      </w:r>
      <w:r w:rsidR="00911CB0">
        <w:t xml:space="preserve"> </w:t>
      </w:r>
      <w:r w:rsidR="00911CB0" w:rsidRPr="00665133">
        <w:rPr>
          <w:i/>
        </w:rPr>
        <w:t>all</w:t>
      </w:r>
      <w:r w:rsidR="00F24DD4" w:rsidRPr="00390B67">
        <w:t xml:space="preserve"> </w:t>
      </w:r>
      <w:r w:rsidR="00911CB0">
        <w:t>planning decisions</w:t>
      </w:r>
      <w:r w:rsidR="000A0756">
        <w:t>;</w:t>
      </w:r>
      <w:r w:rsidR="00266189" w:rsidRPr="00390B67">
        <w:t xml:space="preserve"> </w:t>
      </w:r>
      <w:r w:rsidR="008E7950">
        <w:t xml:space="preserve">they can also </w:t>
      </w:r>
      <w:r w:rsidR="00C02145">
        <w:t xml:space="preserve">unilaterally </w:t>
      </w:r>
      <w:r w:rsidR="008E7950">
        <w:t xml:space="preserve">set </w:t>
      </w:r>
      <w:r w:rsidR="000A0756">
        <w:t>performance targets</w:t>
      </w:r>
      <w:r w:rsidR="00911CB0">
        <w:t>. But for</w:t>
      </w:r>
      <w:r w:rsidR="00911CB0" w:rsidRPr="00390B67">
        <w:t xml:space="preserve"> </w:t>
      </w:r>
      <w:r w:rsidR="000A0756">
        <w:t xml:space="preserve">each set of </w:t>
      </w:r>
      <w:r w:rsidR="00911CB0">
        <w:t>local</w:t>
      </w:r>
      <w:r w:rsidR="003B25FD">
        <w:t xml:space="preserve"> </w:t>
      </w:r>
      <w:r w:rsidR="000A0756">
        <w:t xml:space="preserve">planning </w:t>
      </w:r>
      <w:r w:rsidR="00911CB0">
        <w:t>decisions</w:t>
      </w:r>
      <w:r w:rsidR="00D1212C" w:rsidRPr="00390B67">
        <w:t xml:space="preserve">, the promoter </w:t>
      </w:r>
      <w:r w:rsidR="00911CB0">
        <w:t>needs to build consensus</w:t>
      </w:r>
      <w:r w:rsidR="00927C9E" w:rsidRPr="00390B67">
        <w:t xml:space="preserve"> </w:t>
      </w:r>
      <w:r w:rsidR="00BE01C9" w:rsidRPr="00390B67">
        <w:t>with</w:t>
      </w:r>
      <w:r w:rsidR="000A0756">
        <w:t xml:space="preserve"> a</w:t>
      </w:r>
      <w:r w:rsidR="00BE01C9" w:rsidRPr="00390B67">
        <w:t xml:space="preserve"> </w:t>
      </w:r>
      <w:r w:rsidR="00ED4213" w:rsidRPr="00390B67">
        <w:t xml:space="preserve">group of </w:t>
      </w:r>
      <w:r w:rsidR="009640C4" w:rsidRPr="00390B67">
        <w:t>local</w:t>
      </w:r>
      <w:r w:rsidR="003B25FD">
        <w:t xml:space="preserve"> </w:t>
      </w:r>
      <w:r w:rsidR="00266189" w:rsidRPr="00390B67">
        <w:t>actors</w:t>
      </w:r>
      <w:r w:rsidR="003B25FD">
        <w:t xml:space="preserve"> whose decision rights are </w:t>
      </w:r>
      <w:r w:rsidR="008E7950">
        <w:t xml:space="preserve">restricted </w:t>
      </w:r>
      <w:r w:rsidR="003B25FD">
        <w:t>to</w:t>
      </w:r>
      <w:r w:rsidR="000A0756">
        <w:t xml:space="preserve"> that </w:t>
      </w:r>
      <w:r w:rsidR="00DB39D8">
        <w:t xml:space="preserve">local </w:t>
      </w:r>
      <w:r w:rsidR="008E7950">
        <w:t>planning problem</w:t>
      </w:r>
      <w:r w:rsidR="00266189" w:rsidRPr="00390B67">
        <w:t xml:space="preserve">. </w:t>
      </w:r>
      <w:r w:rsidR="00911CB0">
        <w:t xml:space="preserve">We turn now to </w:t>
      </w:r>
      <w:r w:rsidR="00C13E18">
        <w:t xml:space="preserve">examine </w:t>
      </w:r>
      <w:r w:rsidR="003B25FD">
        <w:t xml:space="preserve">how </w:t>
      </w:r>
      <w:r w:rsidR="00911CB0">
        <w:t>this</w:t>
      </w:r>
      <w:r w:rsidR="003B25FD">
        <w:t xml:space="preserve"> underlying</w:t>
      </w:r>
      <w:r w:rsidR="00911CB0">
        <w:t xml:space="preserve"> </w:t>
      </w:r>
      <w:r w:rsidR="000A0756">
        <w:t xml:space="preserve">architecture </w:t>
      </w:r>
      <w:r w:rsidR="003B25FD">
        <w:t>allows</w:t>
      </w:r>
      <w:r w:rsidR="00C13E18">
        <w:t xml:space="preserve"> for</w:t>
      </w:r>
      <w:r w:rsidR="00911CB0">
        <w:t xml:space="preserve"> variance in the</w:t>
      </w:r>
      <w:r w:rsidR="008E7950">
        <w:t xml:space="preserve"> administrative</w:t>
      </w:r>
      <w:r w:rsidR="00911CB0">
        <w:t xml:space="preserve"> structures surrounding </w:t>
      </w:r>
      <w:r w:rsidR="000A0756">
        <w:t>consensu</w:t>
      </w:r>
      <w:r w:rsidR="00C13E18">
        <w:t>s</w:t>
      </w:r>
      <w:r w:rsidR="000A0756">
        <w:t xml:space="preserve"> building</w:t>
      </w:r>
      <w:r w:rsidR="00E375FF" w:rsidRPr="00390B67">
        <w:t>.</w:t>
      </w:r>
      <w:r w:rsidR="00D81F3E">
        <w:t xml:space="preserve"> </w:t>
      </w:r>
    </w:p>
    <w:p w14:paraId="5A4454E7" w14:textId="5FB14D74" w:rsidR="00E02E70" w:rsidRPr="00847527" w:rsidRDefault="00384659" w:rsidP="00847527">
      <w:pPr>
        <w:pStyle w:val="Heading2"/>
        <w:numPr>
          <w:ilvl w:val="1"/>
          <w:numId w:val="9"/>
        </w:numPr>
        <w:spacing w:line="480" w:lineRule="auto"/>
        <w:rPr>
          <w:b w:val="0"/>
          <w:i/>
        </w:rPr>
      </w:pPr>
      <w:r>
        <w:t xml:space="preserve"> </w:t>
      </w:r>
      <w:r w:rsidR="00911CB0">
        <w:rPr>
          <w:b w:val="0"/>
          <w:i/>
        </w:rPr>
        <w:t xml:space="preserve">Structural Variance within a Polycentric </w:t>
      </w:r>
      <w:r w:rsidR="003B25FD">
        <w:rPr>
          <w:b w:val="0"/>
          <w:i/>
        </w:rPr>
        <w:t xml:space="preserve">Project-based Organization </w:t>
      </w:r>
    </w:p>
    <w:p w14:paraId="2E16AE22" w14:textId="08853B79" w:rsidR="00911CB0" w:rsidRDefault="00321F2D" w:rsidP="00D42873">
      <w:r w:rsidRPr="00390B67">
        <w:t>As aforementioned</w:t>
      </w:r>
      <w:r w:rsidR="008E7950">
        <w:t>,</w:t>
      </w:r>
      <w:r w:rsidRPr="00390B67">
        <w:t xml:space="preserve"> </w:t>
      </w:r>
      <w:r w:rsidR="008D5841">
        <w:t xml:space="preserve">within a polycentric </w:t>
      </w:r>
      <w:r w:rsidR="00CB071F">
        <w:t>architecture</w:t>
      </w:r>
      <w:r w:rsidR="008E7950">
        <w:t>,</w:t>
      </w:r>
      <w:r w:rsidR="008D5841" w:rsidRPr="00390B67">
        <w:t xml:space="preserve"> </w:t>
      </w:r>
      <w:r w:rsidRPr="00390B67">
        <w:t xml:space="preserve">the promoter </w:t>
      </w:r>
      <w:r w:rsidR="00911CB0">
        <w:t>can set performance targets</w:t>
      </w:r>
      <w:r w:rsidR="00C13E18">
        <w:t xml:space="preserve"> </w:t>
      </w:r>
      <w:r w:rsidR="00911CB0">
        <w:t>unilaterally</w:t>
      </w:r>
      <w:r w:rsidR="00F90C59">
        <w:t xml:space="preserve"> but</w:t>
      </w:r>
      <w:r w:rsidR="00911CB0">
        <w:t xml:space="preserve"> </w:t>
      </w:r>
      <w:r w:rsidR="00AD4D1D">
        <w:t xml:space="preserve">the final </w:t>
      </w:r>
      <w:r w:rsidR="00CB071F">
        <w:t>local choices</w:t>
      </w:r>
      <w:r w:rsidR="00AD4D1D">
        <w:t xml:space="preserve"> hinge on building</w:t>
      </w:r>
      <w:r w:rsidR="00911CB0">
        <w:t xml:space="preserve"> </w:t>
      </w:r>
      <w:r>
        <w:t>consensu</w:t>
      </w:r>
      <w:r w:rsidR="00AD4D1D">
        <w:t>s</w:t>
      </w:r>
      <w:r w:rsidR="008D5841">
        <w:t>.</w:t>
      </w:r>
      <w:r>
        <w:t xml:space="preserve"> </w:t>
      </w:r>
      <w:r w:rsidR="00AD4D1D">
        <w:t xml:space="preserve">Searching for </w:t>
      </w:r>
      <w:r w:rsidR="00CB071F">
        <w:t xml:space="preserve">consensus </w:t>
      </w:r>
      <w:r w:rsidR="00AD4D1D">
        <w:t>within a</w:t>
      </w:r>
      <w:r w:rsidR="00C13E18">
        <w:t xml:space="preserve"> solution space </w:t>
      </w:r>
      <w:r w:rsidR="00AD4D1D">
        <w:t>constrained</w:t>
      </w:r>
      <w:r w:rsidR="00C13E18">
        <w:t xml:space="preserve"> by targets</w:t>
      </w:r>
      <w:r w:rsidR="00AD4D1D">
        <w:t xml:space="preserve"> set ex-ante</w:t>
      </w:r>
      <w:r w:rsidR="00F35551">
        <w:t xml:space="preserve"> </w:t>
      </w:r>
      <w:r w:rsidR="00AD4D1D">
        <w:t>leads to multiple</w:t>
      </w:r>
      <w:r w:rsidR="008E7950">
        <w:t xml:space="preserve"> </w:t>
      </w:r>
      <w:r w:rsidR="00AD4D1D">
        <w:t>disputes.</w:t>
      </w:r>
      <w:r w:rsidR="005002F4">
        <w:t xml:space="preserve"> </w:t>
      </w:r>
      <w:r w:rsidR="00911CB0">
        <w:t>Crucially, our analysis reveal</w:t>
      </w:r>
      <w:r w:rsidR="00AD4D1D">
        <w:t>s</w:t>
      </w:r>
      <w:r w:rsidR="00911CB0">
        <w:t xml:space="preserve"> important variance </w:t>
      </w:r>
      <w:r w:rsidR="00C02145">
        <w:t>i</w:t>
      </w:r>
      <w:r w:rsidR="00911CB0">
        <w:t xml:space="preserve">n </w:t>
      </w:r>
      <w:r w:rsidR="00911CB0">
        <w:lastRenderedPageBreak/>
        <w:t>the</w:t>
      </w:r>
      <w:r w:rsidR="00A05F12">
        <w:t xml:space="preserve"> </w:t>
      </w:r>
      <w:r w:rsidR="00911CB0">
        <w:t xml:space="preserve">structures that surround </w:t>
      </w:r>
      <w:r w:rsidR="00AD4D1D">
        <w:t>dispute resolution</w:t>
      </w:r>
      <w:r w:rsidR="00F90C59">
        <w:t xml:space="preserve"> </w:t>
      </w:r>
      <w:r w:rsidR="00911CB0">
        <w:t xml:space="preserve">along two dimensions. The first </w:t>
      </w:r>
      <w:r w:rsidR="00AD4D1D">
        <w:t>relates to</w:t>
      </w:r>
      <w:r w:rsidR="00911CB0">
        <w:t xml:space="preserve"> the extent</w:t>
      </w:r>
      <w:r w:rsidR="00F90C59">
        <w:t xml:space="preserve"> to which</w:t>
      </w:r>
      <w:r w:rsidR="00911CB0">
        <w:t xml:space="preserve"> the </w:t>
      </w:r>
      <w:r w:rsidR="0095408F">
        <w:t xml:space="preserve">laws in the environment </w:t>
      </w:r>
      <w:r w:rsidR="00C02145">
        <w:t xml:space="preserve">include provision of </w:t>
      </w:r>
      <w:r w:rsidR="00911CB0">
        <w:t>an</w:t>
      </w:r>
      <w:r w:rsidR="0095408F">
        <w:t xml:space="preserve"> </w:t>
      </w:r>
      <w:r w:rsidR="00911CB0">
        <w:t>‘umpir</w:t>
      </w:r>
      <w:r w:rsidR="008C6A81">
        <w:t>e</w:t>
      </w:r>
      <w:r w:rsidR="00911CB0">
        <w:t>’</w:t>
      </w:r>
      <w:r w:rsidR="00CB071F">
        <w:t>—</w:t>
      </w:r>
      <w:r w:rsidR="00F90C59">
        <w:t>this is a</w:t>
      </w:r>
      <w:r w:rsidR="00D35491">
        <w:t xml:space="preserve">n actor </w:t>
      </w:r>
      <w:r w:rsidR="00CB071F">
        <w:t>external to the project organization</w:t>
      </w:r>
      <w:r w:rsidR="00D35491">
        <w:t xml:space="preserve"> </w:t>
      </w:r>
      <w:r w:rsidR="0048499D">
        <w:t>with a</w:t>
      </w:r>
      <w:r w:rsidR="00F90C59">
        <w:t xml:space="preserve"> mandate</w:t>
      </w:r>
      <w:r w:rsidR="00AD4D1D">
        <w:t xml:space="preserve"> </w:t>
      </w:r>
      <w:r w:rsidR="00911CB0">
        <w:t>to referee</w:t>
      </w:r>
      <w:r w:rsidR="0095408F">
        <w:t xml:space="preserve"> </w:t>
      </w:r>
      <w:r w:rsidR="00911CB0">
        <w:t>disputes</w:t>
      </w:r>
      <w:r w:rsidR="002D2FA2">
        <w:t xml:space="preserve"> as an alternative to public courts</w:t>
      </w:r>
      <w:r w:rsidR="00911CB0">
        <w:t>.</w:t>
      </w:r>
      <w:r w:rsidR="00AD4D1D">
        <w:rPr>
          <w:rStyle w:val="FootnoteReference"/>
        </w:rPr>
        <w:footnoteReference w:id="2"/>
      </w:r>
      <w:r w:rsidR="00AD4D1D" w:rsidRPr="000B241D">
        <w:t xml:space="preserve"> </w:t>
      </w:r>
      <w:r w:rsidR="00911CB0">
        <w:t>This</w:t>
      </w:r>
      <w:r w:rsidR="0060111C">
        <w:t xml:space="preserve"> </w:t>
      </w:r>
      <w:r w:rsidR="00AD4D1D">
        <w:t>umpire</w:t>
      </w:r>
      <w:r w:rsidR="0060111C">
        <w:t xml:space="preserve"> </w:t>
      </w:r>
      <w:r w:rsidR="0048499D">
        <w:t xml:space="preserve">was in evidence </w:t>
      </w:r>
      <w:r w:rsidR="00911CB0">
        <w:t xml:space="preserve">in the </w:t>
      </w:r>
      <w:r w:rsidR="00D35491">
        <w:t xml:space="preserve">HS2 and Crossrail </w:t>
      </w:r>
      <w:r w:rsidR="00911CB0">
        <w:t>DSM</w:t>
      </w:r>
      <w:r w:rsidR="00AD4D1D">
        <w:t>s</w:t>
      </w:r>
      <w:r w:rsidR="00911CB0">
        <w:t xml:space="preserve">, but </w:t>
      </w:r>
      <w:r w:rsidR="0060111C">
        <w:t>not</w:t>
      </w:r>
      <w:r w:rsidR="00911CB0">
        <w:t xml:space="preserve"> in the</w:t>
      </w:r>
      <w:r w:rsidR="0060111C">
        <w:t xml:space="preserve"> </w:t>
      </w:r>
      <w:r w:rsidR="00D35491">
        <w:t xml:space="preserve">Olympic Park and T2 </w:t>
      </w:r>
      <w:r w:rsidR="0060111C">
        <w:t>DSMs</w:t>
      </w:r>
      <w:r w:rsidR="00AD4D1D">
        <w:t>. The second dimension relates</w:t>
      </w:r>
      <w:r w:rsidR="00911CB0">
        <w:t xml:space="preserve"> the </w:t>
      </w:r>
      <w:r w:rsidR="0060111C">
        <w:t>amount of</w:t>
      </w:r>
      <w:r w:rsidR="00911CB0">
        <w:t xml:space="preserve"> </w:t>
      </w:r>
      <w:r w:rsidR="008D5841">
        <w:t>slack resources</w:t>
      </w:r>
      <w:r w:rsidR="0060111C">
        <w:t xml:space="preserve"> the promoter can</w:t>
      </w:r>
      <w:r w:rsidR="0095408F">
        <w:t xml:space="preserve"> </w:t>
      </w:r>
      <w:r w:rsidR="0060111C">
        <w:t>deploy</w:t>
      </w:r>
      <w:r w:rsidR="00911CB0">
        <w:t xml:space="preserve"> t</w:t>
      </w:r>
      <w:r w:rsidR="008C6A81">
        <w:t xml:space="preserve">o mask </w:t>
      </w:r>
      <w:r w:rsidR="008D5841">
        <w:t>overruns</w:t>
      </w:r>
      <w:r w:rsidR="008C6A81">
        <w:t xml:space="preserve"> from the </w:t>
      </w:r>
      <w:r w:rsidR="001601C9">
        <w:t xml:space="preserve">public </w:t>
      </w:r>
      <w:r w:rsidR="008C6A81">
        <w:t>eye</w:t>
      </w:r>
      <w:r w:rsidR="001601C9">
        <w:t xml:space="preserve">. </w:t>
      </w:r>
      <w:r w:rsidR="00911CB0">
        <w:t xml:space="preserve">We observed substantive slack in the public projects, but limited slack in the private project. </w:t>
      </w:r>
      <w:r w:rsidR="001601C9">
        <w:t>We turn now to analyse how</w:t>
      </w:r>
      <w:r w:rsidR="003E0D55">
        <w:t xml:space="preserve"> </w:t>
      </w:r>
      <w:r w:rsidR="001B0E67">
        <w:t>variance</w:t>
      </w:r>
      <w:r w:rsidR="00911CB0">
        <w:t xml:space="preserve"> </w:t>
      </w:r>
      <w:r w:rsidR="009F3603">
        <w:t>along these</w:t>
      </w:r>
      <w:r w:rsidR="00911CB0">
        <w:t xml:space="preserve"> dimensions affects the </w:t>
      </w:r>
      <w:r w:rsidR="009F3603">
        <w:t>relationship</w:t>
      </w:r>
      <w:r w:rsidR="00911CB0">
        <w:t xml:space="preserve"> between </w:t>
      </w:r>
      <w:r w:rsidR="001B0E67">
        <w:t>polycentric</w:t>
      </w:r>
      <w:r w:rsidR="00911CB0">
        <w:t xml:space="preserve"> organizing</w:t>
      </w:r>
      <w:r w:rsidR="008C6A81">
        <w:t xml:space="preserve"> </w:t>
      </w:r>
      <w:r w:rsidR="00911CB0">
        <w:t xml:space="preserve">and </w:t>
      </w:r>
      <w:r w:rsidR="008D5841">
        <w:t xml:space="preserve">project </w:t>
      </w:r>
      <w:r w:rsidR="00911CB0">
        <w:t xml:space="preserve">performance.  </w:t>
      </w:r>
      <w:r w:rsidR="00D81F3E">
        <w:t xml:space="preserve">Table 3 shows an excerpt of </w:t>
      </w:r>
      <w:r w:rsidR="00A05F12">
        <w:t>our</w:t>
      </w:r>
      <w:r w:rsidR="00D81F3E">
        <w:t xml:space="preserve"> data</w:t>
      </w:r>
      <w:r w:rsidR="008D5841">
        <w:t>base</w:t>
      </w:r>
      <w:r w:rsidR="00D81F3E">
        <w:t xml:space="preserve"> for </w:t>
      </w:r>
      <w:r w:rsidR="0095408F">
        <w:t>six</w:t>
      </w:r>
      <w:r w:rsidR="00D81F3E">
        <w:t xml:space="preserve"> disputes, and illustrates the analysis.</w:t>
      </w:r>
    </w:p>
    <w:p w14:paraId="5AE45D68" w14:textId="24931332" w:rsidR="00D81F3E" w:rsidRPr="00665133" w:rsidRDefault="00D81F3E" w:rsidP="00665133">
      <w:pPr>
        <w:jc w:val="center"/>
        <w:rPr>
          <w:i/>
        </w:rPr>
      </w:pPr>
      <w:r w:rsidRPr="00665133">
        <w:rPr>
          <w:i/>
        </w:rPr>
        <w:t>&lt;</w:t>
      </w:r>
      <w:proofErr w:type="gramStart"/>
      <w:r w:rsidRPr="00665133">
        <w:rPr>
          <w:i/>
        </w:rPr>
        <w:t>insert</w:t>
      </w:r>
      <w:proofErr w:type="gramEnd"/>
      <w:r w:rsidRPr="00665133">
        <w:rPr>
          <w:i/>
        </w:rPr>
        <w:t xml:space="preserve"> Table 3 about here&gt;</w:t>
      </w:r>
    </w:p>
    <w:p w14:paraId="2F3BB703" w14:textId="1345FD8B" w:rsidR="009F3603" w:rsidRPr="00665133" w:rsidRDefault="009F3603" w:rsidP="00665133">
      <w:pPr>
        <w:ind w:firstLine="0"/>
        <w:rPr>
          <w:i/>
        </w:rPr>
      </w:pPr>
      <w:r w:rsidRPr="00665133">
        <w:rPr>
          <w:i/>
        </w:rPr>
        <w:t xml:space="preserve">Variance in the use of an </w:t>
      </w:r>
      <w:r w:rsidR="008D5841">
        <w:rPr>
          <w:i/>
        </w:rPr>
        <w:t>‘</w:t>
      </w:r>
      <w:r w:rsidRPr="00665133">
        <w:rPr>
          <w:i/>
        </w:rPr>
        <w:t>umpir</w:t>
      </w:r>
      <w:r w:rsidR="008D5841">
        <w:rPr>
          <w:i/>
        </w:rPr>
        <w:t xml:space="preserve">e’ </w:t>
      </w:r>
      <w:r w:rsidRPr="00665133">
        <w:rPr>
          <w:i/>
        </w:rPr>
        <w:t xml:space="preserve">to resolve local disputes </w:t>
      </w:r>
    </w:p>
    <w:p w14:paraId="14BAD20D" w14:textId="53482C06" w:rsidR="00752264" w:rsidRPr="00390B67" w:rsidRDefault="00717DC4" w:rsidP="00936EAB">
      <w:r>
        <w:t>Our findings reveal substantive variance on the extent</w:t>
      </w:r>
      <w:r w:rsidR="00D81F3E">
        <w:t xml:space="preserve"> </w:t>
      </w:r>
      <w:r w:rsidR="008D5841">
        <w:t xml:space="preserve">to which </w:t>
      </w:r>
      <w:r w:rsidR="00201F2D">
        <w:t xml:space="preserve">an umpire </w:t>
      </w:r>
      <w:r w:rsidR="0069590E">
        <w:t>to arbitrate between contending parties</w:t>
      </w:r>
      <w:r w:rsidR="0069590E" w:rsidDel="0069590E">
        <w:t xml:space="preserve"> </w:t>
      </w:r>
      <w:r w:rsidR="00A57407">
        <w:t>was institutionalised</w:t>
      </w:r>
      <w:r>
        <w:t xml:space="preserve"> in the environment</w:t>
      </w:r>
      <w:r w:rsidR="00D81F3E">
        <w:t xml:space="preserve">. </w:t>
      </w:r>
      <w:r w:rsidR="009F3603" w:rsidRPr="000B241D">
        <w:t xml:space="preserve">In the Crossrail and HS2 cases </w:t>
      </w:r>
      <w:r>
        <w:t>the</w:t>
      </w:r>
      <w:r w:rsidRPr="000B241D">
        <w:t xml:space="preserve"> UK Parliament </w:t>
      </w:r>
      <w:r>
        <w:t>was</w:t>
      </w:r>
      <w:r w:rsidR="009F3603" w:rsidRPr="000B241D">
        <w:t xml:space="preserve"> instructed</w:t>
      </w:r>
      <w:r>
        <w:t xml:space="preserve"> by law</w:t>
      </w:r>
      <w:r w:rsidR="009F3603" w:rsidRPr="000B241D">
        <w:t xml:space="preserve"> to set up a committee to </w:t>
      </w:r>
      <w:r w:rsidR="00EE23C4">
        <w:t>regulate land use</w:t>
      </w:r>
      <w:r w:rsidR="00CD7F2A">
        <w:t xml:space="preserve">. </w:t>
      </w:r>
      <w:r w:rsidR="00A05F12">
        <w:t>Hence</w:t>
      </w:r>
      <w:r w:rsidR="009F1F37">
        <w:t>,</w:t>
      </w:r>
      <w:r w:rsidR="00CD7F2A">
        <w:t xml:space="preserve"> any</w:t>
      </w:r>
      <w:r w:rsidR="009F3603" w:rsidRPr="00390B67">
        <w:t xml:space="preserve"> actor who was ‘materially affected’ by the promoter’s plans</w:t>
      </w:r>
      <w:r w:rsidR="0069590E">
        <w:t xml:space="preserve"> could</w:t>
      </w:r>
      <w:r w:rsidR="009F3603" w:rsidRPr="00390B67">
        <w:t xml:space="preserve"> </w:t>
      </w:r>
      <w:r w:rsidR="0069590E">
        <w:t xml:space="preserve">lodge a </w:t>
      </w:r>
      <w:r w:rsidR="009F3603" w:rsidRPr="00390B67">
        <w:t>petition</w:t>
      </w:r>
      <w:r w:rsidR="0069590E">
        <w:t xml:space="preserve"> in Parliament</w:t>
      </w:r>
      <w:r w:rsidR="00A57407">
        <w:t xml:space="preserve"> and defer dispute resolution to that committee</w:t>
      </w:r>
      <w:r w:rsidR="009F3603" w:rsidRPr="00390B67">
        <w:t xml:space="preserve">. </w:t>
      </w:r>
      <w:r w:rsidR="00752264">
        <w:t xml:space="preserve">The </w:t>
      </w:r>
      <w:r w:rsidR="00936EAB">
        <w:t>dispute</w:t>
      </w:r>
      <w:r w:rsidR="00752264">
        <w:t xml:space="preserve"> about</w:t>
      </w:r>
      <w:r w:rsidR="00752264" w:rsidRPr="00390B67">
        <w:t xml:space="preserve"> th</w:t>
      </w:r>
      <w:r w:rsidR="00752264">
        <w:t>e HS2</w:t>
      </w:r>
      <w:r w:rsidR="00936EAB">
        <w:t xml:space="preserve"> London Euston station</w:t>
      </w:r>
      <w:r w:rsidR="00F35551">
        <w:t xml:space="preserve"> (</w:t>
      </w:r>
      <w:r w:rsidR="005E52E4">
        <w:t xml:space="preserve">Table 3, </w:t>
      </w:r>
      <w:r w:rsidR="00F35551">
        <w:t>#1</w:t>
      </w:r>
      <w:r w:rsidR="00EE23C4" w:rsidRPr="00390B67">
        <w:t>)</w:t>
      </w:r>
      <w:r w:rsidR="00752264">
        <w:t xml:space="preserve"> </w:t>
      </w:r>
      <w:r w:rsidR="00936EAB">
        <w:t>is telling</w:t>
      </w:r>
      <w:r w:rsidR="00752264" w:rsidRPr="00390B67">
        <w:t xml:space="preserve">. </w:t>
      </w:r>
      <w:r w:rsidR="00373828">
        <w:t xml:space="preserve">From the onset of </w:t>
      </w:r>
      <w:r w:rsidR="00CD7F2A">
        <w:t xml:space="preserve">the </w:t>
      </w:r>
      <w:r w:rsidR="00373828">
        <w:t xml:space="preserve">planning talks in </w:t>
      </w:r>
      <w:r w:rsidR="00936EAB">
        <w:t>2010</w:t>
      </w:r>
      <w:r w:rsidR="00373828">
        <w:t xml:space="preserve">, </w:t>
      </w:r>
      <w:r w:rsidR="00936EAB">
        <w:t>HS2 Ltd</w:t>
      </w:r>
      <w:r w:rsidR="00936EAB" w:rsidRPr="00390B67">
        <w:t xml:space="preserve"> </w:t>
      </w:r>
      <w:r w:rsidR="005002F4">
        <w:t>said</w:t>
      </w:r>
      <w:r w:rsidR="00936EAB">
        <w:t xml:space="preserve"> the </w:t>
      </w:r>
      <w:r w:rsidR="00CD7F2A">
        <w:t xml:space="preserve">UK </w:t>
      </w:r>
      <w:r w:rsidR="00936EAB">
        <w:t xml:space="preserve">government preferred </w:t>
      </w:r>
      <w:r w:rsidR="00EE23C4">
        <w:t>a</w:t>
      </w:r>
      <w:r w:rsidR="00936EAB">
        <w:t xml:space="preserve"> utilitarian, </w:t>
      </w:r>
      <w:r w:rsidR="00EE23C4">
        <w:t xml:space="preserve">modular station </w:t>
      </w:r>
      <w:r w:rsidR="00936EAB">
        <w:t xml:space="preserve">to keep </w:t>
      </w:r>
      <w:r w:rsidR="008D5841">
        <w:t>the costs down</w:t>
      </w:r>
      <w:r w:rsidR="00936EAB">
        <w:t xml:space="preserve">. </w:t>
      </w:r>
      <w:r w:rsidR="009F1F37">
        <w:t>On the other hand,</w:t>
      </w:r>
      <w:r w:rsidR="00936EAB">
        <w:t xml:space="preserve"> </w:t>
      </w:r>
      <w:r w:rsidR="00373828">
        <w:t>the l</w:t>
      </w:r>
      <w:r w:rsidR="00752264" w:rsidRPr="00390B67">
        <w:t xml:space="preserve">ocal </w:t>
      </w:r>
      <w:r w:rsidR="00752264">
        <w:t>actors</w:t>
      </w:r>
      <w:r w:rsidR="00752264" w:rsidRPr="00390B67">
        <w:t xml:space="preserve"> argued</w:t>
      </w:r>
      <w:r w:rsidR="00201F2D">
        <w:t xml:space="preserve"> that</w:t>
      </w:r>
      <w:r w:rsidR="008D5841">
        <w:t xml:space="preserve"> the </w:t>
      </w:r>
      <w:r w:rsidR="00EE23C4">
        <w:t>existing station, which</w:t>
      </w:r>
      <w:r w:rsidR="00CD7F2A">
        <w:t xml:space="preserve"> had not been modernized for</w:t>
      </w:r>
      <w:r w:rsidR="00EE23C4">
        <w:t xml:space="preserve"> 50 years,</w:t>
      </w:r>
      <w:r w:rsidR="00A05F12">
        <w:t xml:space="preserve"> </w:t>
      </w:r>
      <w:r w:rsidR="00EE23C4">
        <w:t xml:space="preserve">needed to be fully redeveloped. </w:t>
      </w:r>
      <w:r w:rsidR="00752264" w:rsidRPr="00390B67">
        <w:t xml:space="preserve">To persuade </w:t>
      </w:r>
      <w:r w:rsidR="009F1F37">
        <w:t xml:space="preserve">the </w:t>
      </w:r>
      <w:r w:rsidR="00752264" w:rsidRPr="00390B67">
        <w:t xml:space="preserve">government to </w:t>
      </w:r>
      <w:r w:rsidR="00F35551">
        <w:t xml:space="preserve">increase the </w:t>
      </w:r>
      <w:r w:rsidR="00201F2D">
        <w:t xml:space="preserve">project </w:t>
      </w:r>
      <w:r w:rsidR="00F35551">
        <w:t>scope</w:t>
      </w:r>
      <w:r w:rsidR="00752264" w:rsidRPr="00390B67">
        <w:t xml:space="preserve">, the affected </w:t>
      </w:r>
      <w:r w:rsidR="008D5841">
        <w:t xml:space="preserve">local </w:t>
      </w:r>
      <w:r w:rsidR="00936EAB">
        <w:t>parties</w:t>
      </w:r>
      <w:r w:rsidR="00752264" w:rsidRPr="00390B67">
        <w:t xml:space="preserve"> commission</w:t>
      </w:r>
      <w:r w:rsidR="00752264">
        <w:t>ed</w:t>
      </w:r>
      <w:r w:rsidR="00752264" w:rsidRPr="00390B67">
        <w:t xml:space="preserve"> </w:t>
      </w:r>
      <w:r w:rsidR="00EE23C4">
        <w:t>master</w:t>
      </w:r>
      <w:r w:rsidR="00752264">
        <w:t>plans</w:t>
      </w:r>
      <w:r w:rsidR="00752264" w:rsidRPr="00390B67">
        <w:t xml:space="preserve"> in support of their vision. </w:t>
      </w:r>
      <w:r w:rsidR="009F1F37">
        <w:t>However,</w:t>
      </w:r>
      <w:r w:rsidR="00752264" w:rsidRPr="00390B67">
        <w:t xml:space="preserve"> under pressure to keep to </w:t>
      </w:r>
      <w:r w:rsidR="00752264">
        <w:t xml:space="preserve">the </w:t>
      </w:r>
      <w:r w:rsidR="00752264" w:rsidRPr="00390B67">
        <w:t xml:space="preserve">original </w:t>
      </w:r>
      <w:r>
        <w:t xml:space="preserve">performance </w:t>
      </w:r>
      <w:r w:rsidR="00752264" w:rsidRPr="00390B67">
        <w:t xml:space="preserve">targets, HS2 Ltd </w:t>
      </w:r>
      <w:r w:rsidR="00A05F12">
        <w:lastRenderedPageBreak/>
        <w:t xml:space="preserve">refused to cave in. </w:t>
      </w:r>
      <w:r w:rsidR="00752264" w:rsidRPr="00390B67">
        <w:t xml:space="preserve">It was then up </w:t>
      </w:r>
      <w:r w:rsidR="009F1F37">
        <w:t>to</w:t>
      </w:r>
      <w:r w:rsidR="00A05F12">
        <w:t xml:space="preserve"> the Ministers in the</w:t>
      </w:r>
      <w:r w:rsidR="00752264" w:rsidRPr="00390B67">
        <w:t xml:space="preserve"> Cabinet</w:t>
      </w:r>
      <w:r w:rsidR="00752264" w:rsidRPr="00390B67">
        <w:rPr>
          <w:rStyle w:val="FootnoteReference"/>
        </w:rPr>
        <w:footnoteReference w:id="3"/>
      </w:r>
      <w:r w:rsidR="00752264" w:rsidRPr="00390B67">
        <w:t>, a</w:t>
      </w:r>
      <w:r w:rsidR="00A05F12">
        <w:t xml:space="preserve"> </w:t>
      </w:r>
      <w:r w:rsidR="00752264" w:rsidRPr="00390B67">
        <w:t>level above, to de</w:t>
      </w:r>
      <w:r w:rsidR="00752264">
        <w:t>cide what to do</w:t>
      </w:r>
      <w:r w:rsidR="00A05F12">
        <w:t xml:space="preserve"> next</w:t>
      </w:r>
      <w:r w:rsidR="00752264">
        <w:t>,</w:t>
      </w:r>
      <w:r w:rsidR="00752264" w:rsidRPr="00390B67">
        <w:t xml:space="preserve"> as one</w:t>
      </w:r>
      <w:r>
        <w:t xml:space="preserve"> top</w:t>
      </w:r>
      <w:r w:rsidR="00752264" w:rsidRPr="00390B67">
        <w:t xml:space="preserve"> </w:t>
      </w:r>
      <w:r w:rsidRPr="00390B67">
        <w:t>official</w:t>
      </w:r>
      <w:r>
        <w:t xml:space="preserve"> in</w:t>
      </w:r>
      <w:r w:rsidRPr="00390B67">
        <w:t xml:space="preserve"> </w:t>
      </w:r>
      <w:r>
        <w:t xml:space="preserve">HS2 Ltd </w:t>
      </w:r>
      <w:r w:rsidR="00752264" w:rsidRPr="00390B67">
        <w:t xml:space="preserve">explained: </w:t>
      </w:r>
    </w:p>
    <w:p w14:paraId="5E18FA3D" w14:textId="77777777" w:rsidR="00752264" w:rsidRPr="00390B67" w:rsidRDefault="00752264" w:rsidP="00752264">
      <w:pPr>
        <w:pStyle w:val="Quote"/>
      </w:pPr>
      <w:r w:rsidRPr="00390B67">
        <w:t>HS2 Ltd, if you like, are the infantry out there; actually doing what they’re told by [central] government. So HS2 Ltd get all the fights, appear to have all the fights, are the bad boys, but they’re really only doing what they’re instructed to do.</w:t>
      </w:r>
    </w:p>
    <w:p w14:paraId="50CD552A" w14:textId="557673A6" w:rsidR="009F3603" w:rsidRDefault="00752264" w:rsidP="00CD7F2A">
      <w:r w:rsidRPr="00390B67">
        <w:t>Consistent with polycentric</w:t>
      </w:r>
      <w:r>
        <w:t xml:space="preserve"> organizing</w:t>
      </w:r>
      <w:r w:rsidRPr="00390B67">
        <w:t>, our</w:t>
      </w:r>
      <w:r>
        <w:t xml:space="preserve"> findings</w:t>
      </w:r>
      <w:r w:rsidR="0069590E">
        <w:t xml:space="preserve"> on the Euston station dispute</w:t>
      </w:r>
      <w:r>
        <w:t xml:space="preserve"> </w:t>
      </w:r>
      <w:r w:rsidR="00201F2D">
        <w:t>show</w:t>
      </w:r>
      <w:r w:rsidR="00A57407">
        <w:t xml:space="preserve"> that</w:t>
      </w:r>
      <w:r w:rsidR="00201F2D">
        <w:t xml:space="preserve"> </w:t>
      </w:r>
      <w:r w:rsidR="008C6A81">
        <w:t>the local decision rights were</w:t>
      </w:r>
      <w:r w:rsidR="00A05F12">
        <w:t xml:space="preserve"> </w:t>
      </w:r>
      <w:r w:rsidR="00A05F12" w:rsidRPr="00665133">
        <w:rPr>
          <w:i/>
        </w:rPr>
        <w:t>de facto</w:t>
      </w:r>
      <w:r w:rsidR="008C6A81">
        <w:t xml:space="preserve"> shared. </w:t>
      </w:r>
      <w:r w:rsidR="00CD7F2A">
        <w:t>The</w:t>
      </w:r>
      <w:r w:rsidR="008C6A81">
        <w:t xml:space="preserve"> UK </w:t>
      </w:r>
      <w:r w:rsidR="00936EAB">
        <w:t>government</w:t>
      </w:r>
      <w:r w:rsidRPr="00390B67">
        <w:t xml:space="preserve"> may have</w:t>
      </w:r>
      <w:r w:rsidR="00AB687A">
        <w:t xml:space="preserve"> had</w:t>
      </w:r>
      <w:r w:rsidRPr="00390B67">
        <w:t xml:space="preserve"> </w:t>
      </w:r>
      <w:r w:rsidR="00CD7F2A" w:rsidRPr="00665133">
        <w:rPr>
          <w:i/>
        </w:rPr>
        <w:t>de jure</w:t>
      </w:r>
      <w:r w:rsidR="00CD7F2A" w:rsidRPr="00390B67">
        <w:t xml:space="preserve"> </w:t>
      </w:r>
      <w:r w:rsidRPr="00390B67">
        <w:t>power</w:t>
      </w:r>
      <w:r w:rsidR="00CD7F2A">
        <w:t xml:space="preserve"> </w:t>
      </w:r>
      <w:r w:rsidRPr="00390B67">
        <w:t xml:space="preserve">to impose </w:t>
      </w:r>
      <w:r w:rsidR="00CD7F2A">
        <w:t>its preferences</w:t>
      </w:r>
      <w:r w:rsidR="005E52E4">
        <w:t xml:space="preserve"> but</w:t>
      </w:r>
      <w:r>
        <w:t xml:space="preserve"> </w:t>
      </w:r>
      <w:r w:rsidR="00AB687A">
        <w:t xml:space="preserve">rather than </w:t>
      </w:r>
      <w:r>
        <w:t xml:space="preserve">forcing </w:t>
      </w:r>
      <w:r w:rsidRPr="00390B67">
        <w:t>the issue</w:t>
      </w:r>
      <w:r w:rsidR="00936EAB">
        <w:t xml:space="preserve">, </w:t>
      </w:r>
      <w:r w:rsidR="005E52E4">
        <w:t xml:space="preserve">they </w:t>
      </w:r>
      <w:r w:rsidR="00AB687A">
        <w:t>opted to negotiate</w:t>
      </w:r>
      <w:r w:rsidR="005A2AC5">
        <w:t xml:space="preserve">. </w:t>
      </w:r>
      <w:r w:rsidR="00CD7F2A">
        <w:t>After three years of</w:t>
      </w:r>
      <w:r w:rsidR="00A57407">
        <w:t xml:space="preserve"> planning</w:t>
      </w:r>
      <w:r w:rsidR="008D5841">
        <w:t xml:space="preserve"> </w:t>
      </w:r>
      <w:r w:rsidR="00084555">
        <w:t>talks</w:t>
      </w:r>
      <w:r w:rsidR="005A2AC5">
        <w:t xml:space="preserve">, the </w:t>
      </w:r>
      <w:r w:rsidR="00E81DE0">
        <w:t xml:space="preserve">scope </w:t>
      </w:r>
      <w:r w:rsidR="005E52E4">
        <w:t xml:space="preserve">and cost </w:t>
      </w:r>
      <w:r w:rsidR="00E81DE0">
        <w:t xml:space="preserve">increased </w:t>
      </w:r>
      <w:r w:rsidR="00A05F12">
        <w:t>commensurately. Still, a number of issues</w:t>
      </w:r>
      <w:r w:rsidR="00A05F12" w:rsidRPr="00A05F12">
        <w:t xml:space="preserve"> </w:t>
      </w:r>
      <w:r w:rsidR="00A05F12">
        <w:t xml:space="preserve">remained outstanding and </w:t>
      </w:r>
      <w:r w:rsidR="00CD7F2A">
        <w:t>dispute</w:t>
      </w:r>
      <w:r w:rsidR="00084555">
        <w:t xml:space="preserve"> resolution</w:t>
      </w:r>
      <w:r w:rsidR="00CD7F2A">
        <w:t xml:space="preserve"> was deferred to Parliament</w:t>
      </w:r>
      <w:r w:rsidR="00A05F12">
        <w:t>;</w:t>
      </w:r>
      <w:r w:rsidR="00AB687A">
        <w:t xml:space="preserve"> </w:t>
      </w:r>
      <w:r w:rsidR="00A05F12">
        <w:t>a</w:t>
      </w:r>
      <w:r w:rsidR="00CD7F2A">
        <w:t xml:space="preserve">s one </w:t>
      </w:r>
      <w:r w:rsidR="005A2AC5">
        <w:t xml:space="preserve">local </w:t>
      </w:r>
      <w:r w:rsidR="009F3603" w:rsidRPr="00390B67">
        <w:t xml:space="preserve">official </w:t>
      </w:r>
      <w:r w:rsidR="00CD7F2A">
        <w:t>said, “</w:t>
      </w:r>
      <w:r w:rsidR="009F3603" w:rsidRPr="00390B67">
        <w:t>HS2 Ltd. didn’t persuade us that our points were wrong nor did they persuade us their points were right.</w:t>
      </w:r>
      <w:proofErr w:type="gramStart"/>
      <w:r w:rsidR="009F3603" w:rsidRPr="00390B67">
        <w:t>…[</w:t>
      </w:r>
      <w:proofErr w:type="gramEnd"/>
      <w:r w:rsidR="00A05F12">
        <w:t>p</w:t>
      </w:r>
      <w:r w:rsidR="009F3603" w:rsidRPr="00390B67">
        <w:t xml:space="preserve">etitioning] </w:t>
      </w:r>
      <w:r w:rsidR="00CD7F2A">
        <w:t>i</w:t>
      </w:r>
      <w:r w:rsidR="009F3603" w:rsidRPr="00390B67">
        <w:t>s ultimately about making your case that your vision is superior.</w:t>
      </w:r>
      <w:r w:rsidR="00CD7F2A">
        <w:t xml:space="preserve">” </w:t>
      </w:r>
      <w:r w:rsidR="009F3603" w:rsidRPr="00390B67">
        <w:t xml:space="preserve">The Parliamentary committee was </w:t>
      </w:r>
      <w:r w:rsidR="00CD7F2A">
        <w:t>impartial</w:t>
      </w:r>
      <w:r w:rsidR="009F3603" w:rsidRPr="000B241D">
        <w:t>, but</w:t>
      </w:r>
      <w:r w:rsidR="00AB687A">
        <w:t xml:space="preserve"> </w:t>
      </w:r>
      <w:r w:rsidR="009F3603" w:rsidRPr="00390B67">
        <w:t>also inefficient</w:t>
      </w:r>
      <w:r w:rsidR="00CD7F2A">
        <w:t>. I</w:t>
      </w:r>
      <w:r w:rsidR="00D81F3E">
        <w:t>t</w:t>
      </w:r>
      <w:r w:rsidR="00AB687A">
        <w:t xml:space="preserve"> consisted of</w:t>
      </w:r>
      <w:r w:rsidR="00D81F3E">
        <w:t xml:space="preserve"> </w:t>
      </w:r>
      <w:r w:rsidR="00CD7F2A">
        <w:t>elected lawmakers</w:t>
      </w:r>
      <w:r w:rsidR="00D81F3E">
        <w:t xml:space="preserve"> who needed</w:t>
      </w:r>
      <w:r w:rsidR="00A05F12">
        <w:t xml:space="preserve"> significant</w:t>
      </w:r>
      <w:r w:rsidR="00D81F3E">
        <w:t xml:space="preserve"> time to listen to </w:t>
      </w:r>
      <w:r w:rsidR="00A05F12">
        <w:t xml:space="preserve">all </w:t>
      </w:r>
      <w:r w:rsidR="00D81F3E">
        <w:t>the arguments before making a judgement</w:t>
      </w:r>
      <w:r w:rsidR="009F3603" w:rsidRPr="00390B67">
        <w:t>.</w:t>
      </w:r>
      <w:r w:rsidR="00AB687A">
        <w:t xml:space="preserve"> In the </w:t>
      </w:r>
      <w:r w:rsidR="00EE23C4">
        <w:t xml:space="preserve">Euston </w:t>
      </w:r>
      <w:r w:rsidR="00AB687A">
        <w:t xml:space="preserve">case, </w:t>
      </w:r>
      <w:r w:rsidR="00CD7F2A">
        <w:t xml:space="preserve">the </w:t>
      </w:r>
      <w:r w:rsidR="00E81DE0">
        <w:t>Parliamentary debates</w:t>
      </w:r>
      <w:r w:rsidR="00CD7F2A">
        <w:t xml:space="preserve"> lasted three years until</w:t>
      </w:r>
      <w:r w:rsidR="00E81DE0">
        <w:t xml:space="preserve"> </w:t>
      </w:r>
      <w:r w:rsidR="00AB687A">
        <w:t>a</w:t>
      </w:r>
      <w:r w:rsidR="005A2AC5">
        <w:t xml:space="preserve"> </w:t>
      </w:r>
      <w:r w:rsidR="00F35551">
        <w:t>consensual solution</w:t>
      </w:r>
      <w:r w:rsidR="00AB687A">
        <w:t xml:space="preserve"> </w:t>
      </w:r>
      <w:r w:rsidR="00E81DE0">
        <w:t>emerged that</w:t>
      </w:r>
      <w:r w:rsidR="00F35551">
        <w:t xml:space="preserve"> further inflated the</w:t>
      </w:r>
      <w:r w:rsidR="00084555">
        <w:t xml:space="preserve"> scope and</w:t>
      </w:r>
      <w:r w:rsidR="00F35551">
        <w:t xml:space="preserve"> cost</w:t>
      </w:r>
      <w:r w:rsidR="00CD7F2A">
        <w:t xml:space="preserve">. The </w:t>
      </w:r>
      <w:r w:rsidR="009F3603" w:rsidRPr="00390B67">
        <w:t>Woolwich station</w:t>
      </w:r>
      <w:r w:rsidR="00CD7F2A">
        <w:t xml:space="preserve"> dispute</w:t>
      </w:r>
      <w:r w:rsidR="009F3603" w:rsidRPr="00390B67">
        <w:t xml:space="preserve"> (</w:t>
      </w:r>
      <w:r w:rsidR="005E52E4">
        <w:t xml:space="preserve">Table 3, </w:t>
      </w:r>
      <w:r w:rsidR="009F3603" w:rsidRPr="00390B67">
        <w:t>#</w:t>
      </w:r>
      <w:r w:rsidR="00F35551">
        <w:t>2</w:t>
      </w:r>
      <w:r w:rsidR="009F3603" w:rsidRPr="00390B67">
        <w:t xml:space="preserve">) </w:t>
      </w:r>
      <w:r w:rsidR="00CD7F2A">
        <w:t>shows a similar pattern</w:t>
      </w:r>
      <w:r w:rsidR="00A57407">
        <w:t>—</w:t>
      </w:r>
      <w:r w:rsidR="00CD7F2A">
        <w:t>linking efforts to build</w:t>
      </w:r>
      <w:r w:rsidR="00084555">
        <w:t xml:space="preserve"> </w:t>
      </w:r>
      <w:r w:rsidR="00CD7F2A">
        <w:t xml:space="preserve">consensus with </w:t>
      </w:r>
      <w:r w:rsidR="00F35551">
        <w:t xml:space="preserve">performance </w:t>
      </w:r>
      <w:r w:rsidR="00A05F12">
        <w:t>slippages</w:t>
      </w:r>
      <w:r w:rsidR="00CD7F2A">
        <w:t xml:space="preserve">. </w:t>
      </w:r>
      <w:r w:rsidR="003C72A7">
        <w:t xml:space="preserve">In this case, </w:t>
      </w:r>
      <w:r w:rsidR="00084555">
        <w:t xml:space="preserve">after three years of talks, </w:t>
      </w:r>
      <w:r w:rsidR="009F3603" w:rsidRPr="00390B67">
        <w:t>the promoter refused to add this station to the project</w:t>
      </w:r>
      <w:r w:rsidR="00F35551">
        <w:t xml:space="preserve"> </w:t>
      </w:r>
      <w:r w:rsidR="00A57407">
        <w:t xml:space="preserve">scope </w:t>
      </w:r>
      <w:r w:rsidR="009F3603" w:rsidRPr="00390B67">
        <w:t xml:space="preserve">to </w:t>
      </w:r>
      <w:r w:rsidR="005E52E4">
        <w:t>keep the costs down</w:t>
      </w:r>
      <w:r w:rsidR="005E52E4" w:rsidRPr="00390B67">
        <w:t xml:space="preserve"> </w:t>
      </w:r>
      <w:r w:rsidR="005E52E4">
        <w:t xml:space="preserve">and </w:t>
      </w:r>
      <w:r w:rsidR="009F3603" w:rsidRPr="00390B67">
        <w:t xml:space="preserve">avoid </w:t>
      </w:r>
      <w:r w:rsidR="005E52E4">
        <w:t>establishing</w:t>
      </w:r>
      <w:r w:rsidR="009F3603" w:rsidRPr="00390B67">
        <w:t xml:space="preserve"> precedence. Petitioning</w:t>
      </w:r>
      <w:r w:rsidR="00CD7F2A">
        <w:t xml:space="preserve"> thus</w:t>
      </w:r>
      <w:r w:rsidR="009F3603" w:rsidRPr="00390B67">
        <w:t xml:space="preserve"> gave </w:t>
      </w:r>
      <w:r w:rsidR="00AB687A">
        <w:t>local actors</w:t>
      </w:r>
      <w:r w:rsidR="00AB687A" w:rsidRPr="00390B67">
        <w:t xml:space="preserve"> </w:t>
      </w:r>
      <w:r w:rsidR="009F3603" w:rsidRPr="00390B67">
        <w:t xml:space="preserve">a chance to overturn what in their view was a flawed decision. After 40 months of </w:t>
      </w:r>
      <w:r w:rsidR="000E69E8">
        <w:t>hearing</w:t>
      </w:r>
      <w:r w:rsidR="009F3603" w:rsidRPr="00390B67">
        <w:t xml:space="preserve"> evidence,</w:t>
      </w:r>
      <w:r w:rsidR="00201F2D">
        <w:t xml:space="preserve"> </w:t>
      </w:r>
      <w:r w:rsidR="009F3603" w:rsidRPr="00390B67">
        <w:t>Parliament</w:t>
      </w:r>
      <w:r w:rsidR="00AB687A">
        <w:t xml:space="preserve"> </w:t>
      </w:r>
      <w:r w:rsidR="009F3603" w:rsidRPr="00390B67">
        <w:t xml:space="preserve">ruled </w:t>
      </w:r>
      <w:r w:rsidR="00A57407" w:rsidRPr="00390B67">
        <w:t>th</w:t>
      </w:r>
      <w:r w:rsidR="00A57407">
        <w:t>at the</w:t>
      </w:r>
      <w:r w:rsidR="00A57407" w:rsidRPr="00390B67">
        <w:t xml:space="preserve"> </w:t>
      </w:r>
      <w:r w:rsidR="009F3603" w:rsidRPr="00390B67">
        <w:t>station should be built, and that the petitioners should</w:t>
      </w:r>
      <w:r w:rsidR="005D35F0">
        <w:t xml:space="preserve"> </w:t>
      </w:r>
      <w:r w:rsidR="00E81DE0">
        <w:t xml:space="preserve">partially </w:t>
      </w:r>
      <w:r w:rsidR="005D35F0">
        <w:t xml:space="preserve">finance the </w:t>
      </w:r>
      <w:r w:rsidR="00A05F12">
        <w:t xml:space="preserve">extra </w:t>
      </w:r>
      <w:r w:rsidR="005D35F0">
        <w:t>costs (over £250m</w:t>
      </w:r>
      <w:r w:rsidR="00D94063" w:rsidRPr="00390B67">
        <w:rPr>
          <w:rStyle w:val="FootnoteReference"/>
        </w:rPr>
        <w:footnoteReference w:id="4"/>
      </w:r>
      <w:r w:rsidR="005D35F0">
        <w:t>)</w:t>
      </w:r>
      <w:r w:rsidR="009F3603" w:rsidRPr="00390B67">
        <w:t xml:space="preserve">. </w:t>
      </w:r>
    </w:p>
    <w:p w14:paraId="10C8365E" w14:textId="339556AB" w:rsidR="009F3603" w:rsidRPr="00390B67" w:rsidRDefault="00EE23C4" w:rsidP="005002F4">
      <w:r>
        <w:t>In marked contrast, w</w:t>
      </w:r>
      <w:r w:rsidR="009F3603" w:rsidRPr="00390B67">
        <w:t xml:space="preserve">e did not encounter evidence of </w:t>
      </w:r>
      <w:r w:rsidR="00201F2D">
        <w:t>external umpires</w:t>
      </w:r>
      <w:r w:rsidR="00201F2D" w:rsidRPr="00390B67">
        <w:t xml:space="preserve"> </w:t>
      </w:r>
      <w:r w:rsidR="00084555">
        <w:t xml:space="preserve">settling </w:t>
      </w:r>
      <w:r w:rsidR="009F3603" w:rsidRPr="00390B67">
        <w:t xml:space="preserve">disputes in the T2 and Olympics cases. In the T2 case, for example, </w:t>
      </w:r>
      <w:r w:rsidR="00201F2D">
        <w:t xml:space="preserve">the more </w:t>
      </w:r>
      <w:r w:rsidR="00201F2D">
        <w:lastRenderedPageBreak/>
        <w:t xml:space="preserve">concessions </w:t>
      </w:r>
      <w:r w:rsidR="006B7B1E">
        <w:t xml:space="preserve">on project scope </w:t>
      </w:r>
      <w:r w:rsidR="00201F2D">
        <w:t>the airlines asked BAA to make, the more BAA asked to increase the levies</w:t>
      </w:r>
      <w:r w:rsidR="00582EE5">
        <w:t>, leading to</w:t>
      </w:r>
      <w:r w:rsidR="00201F2D">
        <w:t xml:space="preserve"> disputes (‘</w:t>
      </w:r>
      <w:r w:rsidR="00201F2D" w:rsidRPr="00390B67">
        <w:t>we’re battling all the time</w:t>
      </w:r>
      <w:r w:rsidR="00201F2D">
        <w:t>’, said one BAA respondent)</w:t>
      </w:r>
      <w:r w:rsidR="006B7B1E">
        <w:t xml:space="preserve">. </w:t>
      </w:r>
      <w:r w:rsidR="00084555">
        <w:t xml:space="preserve">Our findings also show that </w:t>
      </w:r>
      <w:r w:rsidR="00084555" w:rsidRPr="00390B67">
        <w:t>BAA and S</w:t>
      </w:r>
      <w:r w:rsidR="00582EE5">
        <w:t>TAR</w:t>
      </w:r>
      <w:r w:rsidR="00084555" w:rsidRPr="00390B67">
        <w:t xml:space="preserve"> </w:t>
      </w:r>
      <w:r w:rsidR="00084555">
        <w:t>were both happy to ask the regulator to</w:t>
      </w:r>
      <w:r w:rsidR="00084555" w:rsidRPr="00390B67">
        <w:t xml:space="preserve"> </w:t>
      </w:r>
      <w:r w:rsidR="00084555" w:rsidRPr="004E2C6A">
        <w:t>mediate</w:t>
      </w:r>
      <w:r w:rsidR="00084555" w:rsidRPr="002D2FA2">
        <w:t xml:space="preserve"> </w:t>
      </w:r>
      <w:r w:rsidR="00084555" w:rsidRPr="00390B67">
        <w:t>disputes</w:t>
      </w:r>
      <w:r w:rsidR="00084555">
        <w:t>. However, s</w:t>
      </w:r>
      <w:r w:rsidR="006B7B1E">
        <w:t xml:space="preserve">ince it </w:t>
      </w:r>
      <w:r w:rsidR="009F3603" w:rsidRPr="00390B67">
        <w:t xml:space="preserve">was </w:t>
      </w:r>
      <w:r w:rsidR="00201F2D">
        <w:t xml:space="preserve">within the mandate </w:t>
      </w:r>
      <w:r w:rsidR="009F3603" w:rsidRPr="00390B67">
        <w:t>of the airport economic regulator to cap the levies requested by BAA</w:t>
      </w:r>
      <w:r w:rsidR="006B7B1E">
        <w:t>,</w:t>
      </w:r>
      <w:r w:rsidR="00084555">
        <w:t xml:space="preserve"> </w:t>
      </w:r>
      <w:r w:rsidR="00201F2D">
        <w:t>the regulator was not ‘third par</w:t>
      </w:r>
      <w:r w:rsidR="006B7B1E">
        <w:t>ty’ to the project organization</w:t>
      </w:r>
      <w:r w:rsidR="009F3603" w:rsidRPr="00390B67">
        <w:t xml:space="preserve">. </w:t>
      </w:r>
      <w:r w:rsidR="00084555">
        <w:t xml:space="preserve">Furthermore, </w:t>
      </w:r>
      <w:r w:rsidR="00201F2D">
        <w:t xml:space="preserve">the </w:t>
      </w:r>
      <w:r w:rsidR="009F3603" w:rsidRPr="00390B67">
        <w:t xml:space="preserve">regulator </w:t>
      </w:r>
      <w:r w:rsidR="00084555">
        <w:t>lacked the</w:t>
      </w:r>
      <w:r w:rsidR="009F3603" w:rsidRPr="00390B67">
        <w:t xml:space="preserve"> power to </w:t>
      </w:r>
      <w:r w:rsidR="002D2FA2">
        <w:t>settle</w:t>
      </w:r>
      <w:r w:rsidR="002D2FA2" w:rsidRPr="00390B67">
        <w:t xml:space="preserve"> </w:t>
      </w:r>
      <w:r w:rsidR="009F3603" w:rsidRPr="00390B67">
        <w:t>disputes</w:t>
      </w:r>
      <w:r w:rsidR="002D2FA2">
        <w:t xml:space="preserve">. </w:t>
      </w:r>
      <w:r w:rsidR="009E00D5">
        <w:t>One example is</w:t>
      </w:r>
      <w:r w:rsidR="005002F4">
        <w:t xml:space="preserve"> the dispute </w:t>
      </w:r>
      <w:r w:rsidR="009F3603" w:rsidRPr="00390B67">
        <w:t>about the main concourse (</w:t>
      </w:r>
      <w:r w:rsidR="00582EE5">
        <w:t xml:space="preserve">Table 3, </w:t>
      </w:r>
      <w:r w:rsidR="009F3603" w:rsidRPr="00390B67">
        <w:t>#</w:t>
      </w:r>
      <w:r w:rsidR="00F35551">
        <w:t>3</w:t>
      </w:r>
      <w:r w:rsidR="009F3603" w:rsidRPr="00390B67">
        <w:t xml:space="preserve">). The airlines </w:t>
      </w:r>
      <w:r w:rsidR="00582EE5">
        <w:t>desir</w:t>
      </w:r>
      <w:r w:rsidR="009F3603" w:rsidRPr="00390B67">
        <w:t xml:space="preserve">ed a modern campus, whereas BAA planned </w:t>
      </w:r>
      <w:r w:rsidR="005D35F0">
        <w:t xml:space="preserve">to simply replace </w:t>
      </w:r>
      <w:r w:rsidR="009F3603" w:rsidRPr="00390B67">
        <w:t>old facilities</w:t>
      </w:r>
      <w:r w:rsidR="009F3603">
        <w:t xml:space="preserve"> (</w:t>
      </w:r>
      <w:r w:rsidR="009F3603" w:rsidRPr="00390B67">
        <w:t>in part to avoid umpiring</w:t>
      </w:r>
      <w:r w:rsidR="009F3603">
        <w:t xml:space="preserve"> by public inquiry</w:t>
      </w:r>
      <w:r w:rsidR="009F3603" w:rsidRPr="00390B67">
        <w:t>). Consistent with its preferences, BAA announced a modestly-budgeted £700m new concourse to open in 2012. S</w:t>
      </w:r>
      <w:r w:rsidR="00582EE5">
        <w:t>TAR</w:t>
      </w:r>
      <w:r w:rsidR="009F3603" w:rsidRPr="00390B67">
        <w:t xml:space="preserve"> then wrote several letters to the regulator complaining that BAA was ignoring their needs, a claim </w:t>
      </w:r>
      <w:r w:rsidR="005D35F0">
        <w:t xml:space="preserve">that </w:t>
      </w:r>
      <w:r w:rsidR="009F3603" w:rsidRPr="00390B67">
        <w:t>BAA found unfair—‘I can never get consensus on almost anything’, said a BAA director. In the end, BAA agreed to safeguard the airlines’ vision, but demanded a</w:t>
      </w:r>
      <w:r w:rsidR="009F3603">
        <w:t>n increase in</w:t>
      </w:r>
      <w:r w:rsidR="005D35F0">
        <w:t xml:space="preserve"> the</w:t>
      </w:r>
      <w:r w:rsidR="009F3603">
        <w:t xml:space="preserve"> </w:t>
      </w:r>
      <w:r w:rsidR="005D35F0" w:rsidRPr="00390B67">
        <w:t>airport levies</w:t>
      </w:r>
      <w:r w:rsidR="009F3603" w:rsidRPr="00390B67">
        <w:t>. The regulator facilitated the negotiations by postponing the deadline to complete the talks. A level below, BAA and S</w:t>
      </w:r>
      <w:r w:rsidR="00582EE5">
        <w:t>TAR</w:t>
      </w:r>
      <w:r w:rsidR="009F3603" w:rsidRPr="00390B67">
        <w:t xml:space="preserve"> recruit</w:t>
      </w:r>
      <w:r w:rsidR="003C72A7">
        <w:t>ed</w:t>
      </w:r>
      <w:r w:rsidR="009F3603" w:rsidRPr="00390B67">
        <w:t xml:space="preserve"> a retired director to </w:t>
      </w:r>
      <w:r w:rsidR="002D2FA2">
        <w:t>arbitrate</w:t>
      </w:r>
      <w:r w:rsidR="002D2FA2" w:rsidRPr="00390B67">
        <w:t xml:space="preserve"> </w:t>
      </w:r>
      <w:r w:rsidR="00582EE5">
        <w:t xml:space="preserve">privately </w:t>
      </w:r>
      <w:r w:rsidR="00717DC4">
        <w:t>minor</w:t>
      </w:r>
      <w:r w:rsidR="009F3603" w:rsidRPr="00390B67">
        <w:t xml:space="preserve"> disputes</w:t>
      </w:r>
      <w:r w:rsidR="001F21E0">
        <w:t xml:space="preserve">. In the </w:t>
      </w:r>
      <w:r w:rsidR="009F3603" w:rsidRPr="00390B67">
        <w:t>gate dispute</w:t>
      </w:r>
      <w:r w:rsidR="001F21E0">
        <w:t xml:space="preserve"> </w:t>
      </w:r>
      <w:r w:rsidR="00582EE5">
        <w:t xml:space="preserve">(Table 3, </w:t>
      </w:r>
      <w:r w:rsidR="009F3603" w:rsidRPr="00390B67">
        <w:t>#</w:t>
      </w:r>
      <w:r w:rsidR="00F35551">
        <w:t>4</w:t>
      </w:r>
      <w:r w:rsidR="00582EE5">
        <w:t>)</w:t>
      </w:r>
      <w:r w:rsidR="009F3603" w:rsidRPr="00390B67">
        <w:t xml:space="preserve">, </w:t>
      </w:r>
      <w:r w:rsidR="001F21E0">
        <w:t xml:space="preserve">for example, </w:t>
      </w:r>
      <w:r w:rsidR="009F3603" w:rsidRPr="00390B67">
        <w:t>the airlines preferred ‘closed’ gates which they deemed more efficient, whereas BAA favoured ‘open’ gates so passengers could move around up to boarding. T</w:t>
      </w:r>
      <w:r w:rsidR="00E22701">
        <w:t xml:space="preserve">o </w:t>
      </w:r>
      <w:r w:rsidR="00717DC4">
        <w:t>resolve</w:t>
      </w:r>
      <w:r w:rsidR="00717DC4" w:rsidRPr="00390B67">
        <w:t xml:space="preserve"> the differences</w:t>
      </w:r>
      <w:r w:rsidR="00E22701">
        <w:t>, t</w:t>
      </w:r>
      <w:r w:rsidR="009F3603" w:rsidRPr="00390B67">
        <w:t xml:space="preserve">he </w:t>
      </w:r>
      <w:r w:rsidR="00084555">
        <w:t>arbitrator</w:t>
      </w:r>
      <w:r w:rsidR="00084555" w:rsidRPr="00390B67">
        <w:t xml:space="preserve"> </w:t>
      </w:r>
      <w:r w:rsidR="009F3603" w:rsidRPr="00390B67">
        <w:t xml:space="preserve">suggested </w:t>
      </w:r>
      <w:r w:rsidR="00D94063">
        <w:t>building</w:t>
      </w:r>
      <w:r w:rsidR="009F3603" w:rsidRPr="00390B67">
        <w:t xml:space="preserve"> </w:t>
      </w:r>
      <w:r w:rsidR="005A2AC5">
        <w:t>‘</w:t>
      </w:r>
      <w:r w:rsidR="009F3603" w:rsidRPr="00390B67">
        <w:t>flexible</w:t>
      </w:r>
      <w:r w:rsidR="005A2AC5">
        <w:t>’</w:t>
      </w:r>
      <w:r w:rsidR="009F3603" w:rsidRPr="00390B67">
        <w:t xml:space="preserve"> gates, an idea </w:t>
      </w:r>
      <w:r w:rsidR="006B7B1E">
        <w:t xml:space="preserve">which </w:t>
      </w:r>
      <w:r w:rsidR="00084555">
        <w:t>added</w:t>
      </w:r>
      <w:r w:rsidR="00E22701">
        <w:t xml:space="preserve"> £5 million</w:t>
      </w:r>
      <w:r w:rsidR="00084555">
        <w:t xml:space="preserve"> to the cost forecast</w:t>
      </w:r>
      <w:r w:rsidR="001F21E0">
        <w:t>.</w:t>
      </w:r>
    </w:p>
    <w:p w14:paraId="23010023" w14:textId="281859BA" w:rsidR="009F3603" w:rsidRPr="00390B67" w:rsidRDefault="009F3603" w:rsidP="005A2AC5">
      <w:r w:rsidRPr="00390B67">
        <w:t>The</w:t>
      </w:r>
      <w:r w:rsidR="001F21E0">
        <w:t xml:space="preserve"> </w:t>
      </w:r>
      <w:r w:rsidRPr="00390B67">
        <w:t>Olympics case provide</w:t>
      </w:r>
      <w:r w:rsidR="001F21E0">
        <w:t>s</w:t>
      </w:r>
      <w:r w:rsidRPr="00390B67">
        <w:t xml:space="preserve"> another example of</w:t>
      </w:r>
      <w:r w:rsidR="001F21E0">
        <w:t xml:space="preserve"> a</w:t>
      </w:r>
      <w:r w:rsidR="00717DC4">
        <w:t xml:space="preserve"> project</w:t>
      </w:r>
      <w:r w:rsidR="001F21E0">
        <w:t xml:space="preserve"> context</w:t>
      </w:r>
      <w:r w:rsidRPr="00390B67">
        <w:t xml:space="preserve"> </w:t>
      </w:r>
      <w:r w:rsidR="001F21E0">
        <w:t>where</w:t>
      </w:r>
      <w:r w:rsidR="005A2AC5">
        <w:t xml:space="preserve"> the decision rights were shared but </w:t>
      </w:r>
      <w:r w:rsidR="006B7B1E">
        <w:t>the</w:t>
      </w:r>
      <w:r w:rsidR="00A57407">
        <w:t xml:space="preserve"> </w:t>
      </w:r>
      <w:r w:rsidR="00084555">
        <w:t>participants</w:t>
      </w:r>
      <w:r w:rsidR="006B7B1E">
        <w:t xml:space="preserve"> were</w:t>
      </w:r>
      <w:r w:rsidR="00084555">
        <w:t xml:space="preserve"> </w:t>
      </w:r>
      <w:r w:rsidR="006B7B1E">
        <w:t>l</w:t>
      </w:r>
      <w:r w:rsidR="00084555">
        <w:t>e</w:t>
      </w:r>
      <w:r w:rsidR="006B7B1E">
        <w:t>ft to their own devices to settle the disputes</w:t>
      </w:r>
      <w:r w:rsidR="005A2AC5">
        <w:t>.</w:t>
      </w:r>
      <w:r w:rsidR="001F21E0">
        <w:t xml:space="preserve"> </w:t>
      </w:r>
      <w:r w:rsidR="005B559C">
        <w:t xml:space="preserve">In this case, </w:t>
      </w:r>
      <w:r w:rsidR="00582EE5">
        <w:t>because</w:t>
      </w:r>
      <w:r w:rsidR="00582EE5" w:rsidRPr="00390B67">
        <w:t xml:space="preserve"> </w:t>
      </w:r>
      <w:r w:rsidRPr="00390B67">
        <w:t xml:space="preserve">of the rigid deadline, Parliament </w:t>
      </w:r>
      <w:r w:rsidR="006B7B1E">
        <w:t xml:space="preserve">rushed to give </w:t>
      </w:r>
      <w:r w:rsidRPr="00390B67">
        <w:t>planning powers to</w:t>
      </w:r>
      <w:r>
        <w:t xml:space="preserve"> the</w:t>
      </w:r>
      <w:r w:rsidRPr="00390B67">
        <w:t xml:space="preserve"> ODA, the promoter’s agent</w:t>
      </w:r>
      <w:r w:rsidR="003C72A7">
        <w:t>, right after the UK won the bid</w:t>
      </w:r>
      <w:r w:rsidRPr="00390B67">
        <w:t xml:space="preserve">. </w:t>
      </w:r>
      <w:r w:rsidR="00186E0C">
        <w:t>Still,</w:t>
      </w:r>
      <w:r w:rsidR="003C72A7">
        <w:t xml:space="preserve"> m</w:t>
      </w:r>
      <w:r w:rsidR="00E22701">
        <w:t xml:space="preserve">indful that </w:t>
      </w:r>
      <w:r w:rsidR="005B559C">
        <w:t xml:space="preserve">unilateral decisions could cause </w:t>
      </w:r>
      <w:r w:rsidR="00E22701">
        <w:t>a</w:t>
      </w:r>
      <w:r w:rsidR="005B559C">
        <w:t xml:space="preserve"> political backlash</w:t>
      </w:r>
      <w:r w:rsidRPr="00390B67">
        <w:t xml:space="preserve">, </w:t>
      </w:r>
      <w:r>
        <w:t xml:space="preserve">the </w:t>
      </w:r>
      <w:r w:rsidRPr="00390B67">
        <w:t xml:space="preserve">ODA </w:t>
      </w:r>
      <w:r w:rsidRPr="00390B67">
        <w:lastRenderedPageBreak/>
        <w:t>appointed</w:t>
      </w:r>
      <w:r w:rsidR="003C72A7">
        <w:t xml:space="preserve"> a</w:t>
      </w:r>
      <w:r w:rsidRPr="00390B67">
        <w:t xml:space="preserve"> ‘design sponsor’ for each project board, and </w:t>
      </w:r>
      <w:r w:rsidR="00582EE5">
        <w:t xml:space="preserve">gave them a </w:t>
      </w:r>
      <w:r w:rsidRPr="00390B67">
        <w:t>mandate to</w:t>
      </w:r>
      <w:r w:rsidR="00E22701">
        <w:t xml:space="preserve"> search for consensual designs</w:t>
      </w:r>
      <w:r w:rsidR="003C72A7">
        <w:t xml:space="preserve">. </w:t>
      </w:r>
      <w:r w:rsidRPr="00390B67">
        <w:t xml:space="preserve">The Olympics aquatics centre </w:t>
      </w:r>
      <w:r w:rsidR="00582EE5">
        <w:t xml:space="preserve">(Table 3, </w:t>
      </w:r>
      <w:r w:rsidRPr="00390B67">
        <w:t>#</w:t>
      </w:r>
      <w:r w:rsidR="00F35551">
        <w:t>5</w:t>
      </w:r>
      <w:r w:rsidR="00582EE5">
        <w:t>)</w:t>
      </w:r>
      <w:r w:rsidRPr="00390B67">
        <w:t xml:space="preserve"> </w:t>
      </w:r>
      <w:r>
        <w:t>offers</w:t>
      </w:r>
      <w:r w:rsidRPr="00390B67">
        <w:t xml:space="preserve"> </w:t>
      </w:r>
      <w:r>
        <w:t>a good example</w:t>
      </w:r>
      <w:r w:rsidR="005A2AC5">
        <w:t xml:space="preserve"> </w:t>
      </w:r>
      <w:r w:rsidR="005B559C">
        <w:t xml:space="preserve">of how </w:t>
      </w:r>
      <w:r w:rsidR="006B7B1E">
        <w:t xml:space="preserve">the planning talks </w:t>
      </w:r>
      <w:r w:rsidR="005B559C">
        <w:t>led to substantive</w:t>
      </w:r>
      <w:r w:rsidR="003C72A7">
        <w:t xml:space="preserve"> </w:t>
      </w:r>
      <w:r w:rsidR="00717DC4">
        <w:t xml:space="preserve">performance </w:t>
      </w:r>
      <w:r w:rsidR="00186E0C">
        <w:t>slippages</w:t>
      </w:r>
      <w:r w:rsidR="005B559C">
        <w:t xml:space="preserve">. </w:t>
      </w:r>
      <w:r w:rsidR="003C72A7">
        <w:t>T</w:t>
      </w:r>
      <w:r w:rsidR="005A2AC5">
        <w:t xml:space="preserve">he </w:t>
      </w:r>
      <w:r w:rsidRPr="00390B67">
        <w:t>promot</w:t>
      </w:r>
      <w:r w:rsidR="005B559C">
        <w:t>er</w:t>
      </w:r>
      <w:r w:rsidRPr="00390B67">
        <w:t xml:space="preserve"> had pledged a massive venue </w:t>
      </w:r>
      <w:r w:rsidR="00E22701">
        <w:t>designed</w:t>
      </w:r>
      <w:r w:rsidR="00E22701" w:rsidRPr="00390B67">
        <w:t xml:space="preserve"> </w:t>
      </w:r>
      <w:r w:rsidRPr="00390B67">
        <w:t xml:space="preserve">by a famous </w:t>
      </w:r>
      <w:r w:rsidR="00582EE5">
        <w:t>architect b</w:t>
      </w:r>
      <w:r w:rsidRPr="00390B67">
        <w:t>ut as the</w:t>
      </w:r>
      <w:r w:rsidRPr="00390B67" w:rsidDel="00521F9C">
        <w:t xml:space="preserve"> </w:t>
      </w:r>
      <w:r w:rsidRPr="00390B67">
        <w:t xml:space="preserve">cost forecast started to </w:t>
      </w:r>
      <w:r w:rsidR="00582EE5">
        <w:t xml:space="preserve">climb </w:t>
      </w:r>
      <w:r w:rsidR="005A2AC5" w:rsidRPr="00390B67">
        <w:t>th</w:t>
      </w:r>
      <w:r w:rsidR="005A2AC5">
        <w:t>e</w:t>
      </w:r>
      <w:r w:rsidR="005A2AC5" w:rsidRPr="00390B67">
        <w:t xml:space="preserve"> </w:t>
      </w:r>
      <w:r w:rsidRPr="00390B67">
        <w:t xml:space="preserve">goal became unviable. </w:t>
      </w:r>
      <w:r w:rsidR="00582EE5">
        <w:t>However</w:t>
      </w:r>
      <w:r w:rsidRPr="00390B67">
        <w:t>, backing down from the public pledge was tricky—as one official said, ‘if you challenge them [</w:t>
      </w:r>
      <w:r w:rsidR="00582EE5">
        <w:t xml:space="preserve">the </w:t>
      </w:r>
      <w:r w:rsidRPr="00390B67">
        <w:t>architect] they will just walk away’. Complicating matters was a constraint</w:t>
      </w:r>
      <w:r w:rsidR="005A2AC5">
        <w:t xml:space="preserve"> imposed by </w:t>
      </w:r>
      <w:r w:rsidR="005B559C">
        <w:t>the International Olympic Committee</w:t>
      </w:r>
      <w:r w:rsidRPr="00390B67">
        <w:t xml:space="preserve"> on the minimum capacity of the venue</w:t>
      </w:r>
      <w:r w:rsidR="005B559C">
        <w:t xml:space="preserve"> and</w:t>
      </w:r>
      <w:r w:rsidR="003C72A7">
        <w:t xml:space="preserve"> </w:t>
      </w:r>
      <w:r w:rsidR="00E90F80">
        <w:t xml:space="preserve">individual </w:t>
      </w:r>
      <w:r w:rsidR="005B559C">
        <w:t xml:space="preserve">preferences </w:t>
      </w:r>
      <w:r w:rsidR="003C72A7">
        <w:t xml:space="preserve">of </w:t>
      </w:r>
      <w:r w:rsidR="00E22701">
        <w:t>the local government</w:t>
      </w:r>
      <w:r w:rsidR="005B559C">
        <w:t>, the fut</w:t>
      </w:r>
      <w:r w:rsidR="00E22701">
        <w:t>ure operator</w:t>
      </w:r>
      <w:r w:rsidR="005B559C">
        <w:t xml:space="preserve"> of the asset</w:t>
      </w:r>
      <w:r w:rsidRPr="00390B67">
        <w:t xml:space="preserve">. </w:t>
      </w:r>
      <w:r w:rsidR="00E90F80">
        <w:t>Unable to defer dispute resolution to</w:t>
      </w:r>
      <w:r w:rsidR="006B7B1E">
        <w:t xml:space="preserve"> </w:t>
      </w:r>
      <w:r w:rsidR="00E45FE6">
        <w:t>an umpire</w:t>
      </w:r>
      <w:r w:rsidR="006B7B1E">
        <w:t>,</w:t>
      </w:r>
      <w:r w:rsidRPr="00390B67">
        <w:t xml:space="preserve"> the </w:t>
      </w:r>
      <w:r>
        <w:t>parties resolve</w:t>
      </w:r>
      <w:r w:rsidR="00E22701">
        <w:t>d</w:t>
      </w:r>
      <w:r>
        <w:t xml:space="preserve"> the issues </w:t>
      </w:r>
      <w:r w:rsidRPr="00390B67">
        <w:t>by keeping the aesthetics, shrinking the venue size, and safeguarding a capacity increase</w:t>
      </w:r>
      <w:r>
        <w:t xml:space="preserve"> just</w:t>
      </w:r>
      <w:r w:rsidRPr="00390B67">
        <w:t xml:space="preserve"> for the games</w:t>
      </w:r>
      <w:r w:rsidR="00494C5F">
        <w:t xml:space="preserve">. </w:t>
      </w:r>
      <w:r w:rsidR="00E45FE6">
        <w:t>Th</w:t>
      </w:r>
      <w:r w:rsidR="00494C5F">
        <w:t xml:space="preserve">is solution </w:t>
      </w:r>
      <w:r w:rsidR="00F81976">
        <w:t xml:space="preserve">doubled </w:t>
      </w:r>
      <w:r w:rsidR="00494C5F">
        <w:t>the</w:t>
      </w:r>
      <w:r w:rsidRPr="00390B67">
        <w:t xml:space="preserve"> cost forecast</w:t>
      </w:r>
      <w:r w:rsidR="00E90F80">
        <w:t xml:space="preserve">, </w:t>
      </w:r>
      <w:r w:rsidR="00E45FE6">
        <w:t xml:space="preserve">however, </w:t>
      </w:r>
      <w:r w:rsidR="00494C5F">
        <w:t xml:space="preserve">and </w:t>
      </w:r>
      <w:r w:rsidR="00E90F80">
        <w:t>a</w:t>
      </w:r>
      <w:r w:rsidRPr="00390B67">
        <w:t xml:space="preserve"> public outcry</w:t>
      </w:r>
      <w:r w:rsidR="00E90F80">
        <w:t xml:space="preserve"> ensued</w:t>
      </w:r>
      <w:r w:rsidRPr="00390B67">
        <w:t xml:space="preserve">—‘they seem to be willing to spend money like water’, </w:t>
      </w:r>
      <w:r w:rsidR="0029788F">
        <w:t>said</w:t>
      </w:r>
      <w:r w:rsidR="0029788F" w:rsidRPr="00390B67">
        <w:t xml:space="preserve"> </w:t>
      </w:r>
      <w:r w:rsidRPr="00390B67">
        <w:t>a watchdog</w:t>
      </w:r>
      <w:r w:rsidR="005B559C">
        <w:rPr>
          <w:rStyle w:val="FootnoteReference"/>
        </w:rPr>
        <w:footnoteReference w:id="5"/>
      </w:r>
      <w:r w:rsidRPr="00390B67">
        <w:t xml:space="preserve">. </w:t>
      </w:r>
      <w:r w:rsidR="005B559C">
        <w:t>Even more</w:t>
      </w:r>
      <w:r w:rsidR="005A2AC5">
        <w:t xml:space="preserve"> c</w:t>
      </w:r>
      <w:r w:rsidR="00186E0C">
        <w:t>omplex</w:t>
      </w:r>
      <w:r w:rsidR="005A2AC5">
        <w:t xml:space="preserve"> was</w:t>
      </w:r>
      <w:r w:rsidR="00E90F80">
        <w:t xml:space="preserve"> agreeing a plan for</w:t>
      </w:r>
      <w:r w:rsidR="005A2AC5">
        <w:t xml:space="preserve"> </w:t>
      </w:r>
      <w:r w:rsidR="00E90F80">
        <w:t xml:space="preserve">the </w:t>
      </w:r>
      <w:r w:rsidRPr="00390B67">
        <w:t xml:space="preserve">Olympic stadium </w:t>
      </w:r>
      <w:r w:rsidR="00E45FE6">
        <w:t xml:space="preserve">(Table 3, </w:t>
      </w:r>
      <w:r w:rsidRPr="00390B67">
        <w:t>#</w:t>
      </w:r>
      <w:r w:rsidR="00F35551">
        <w:t>6</w:t>
      </w:r>
      <w:r w:rsidR="00E45FE6">
        <w:t>)</w:t>
      </w:r>
      <w:r w:rsidR="005B559C">
        <w:t>.</w:t>
      </w:r>
      <w:r w:rsidR="00E90F80">
        <w:t xml:space="preserve"> </w:t>
      </w:r>
      <w:r w:rsidRPr="00390B67">
        <w:t>In this case,</w:t>
      </w:r>
      <w:r w:rsidR="0015076A">
        <w:t xml:space="preserve"> </w:t>
      </w:r>
      <w:r w:rsidR="00E90F80">
        <w:t>two claimants to the planning choices</w:t>
      </w:r>
      <w:r w:rsidR="00E45FE6">
        <w:t xml:space="preserve"> – the </w:t>
      </w:r>
      <w:r w:rsidR="003C72A7">
        <w:t xml:space="preserve">London </w:t>
      </w:r>
      <w:r w:rsidR="009E00D5">
        <w:t>Mayor and</w:t>
      </w:r>
      <w:r w:rsidR="0015076A">
        <w:t xml:space="preserve"> </w:t>
      </w:r>
      <w:r w:rsidR="00E45FE6">
        <w:t xml:space="preserve">professional </w:t>
      </w:r>
      <w:r w:rsidR="0015076A">
        <w:t xml:space="preserve">football </w:t>
      </w:r>
      <w:r w:rsidR="009E00D5">
        <w:t>clubs</w:t>
      </w:r>
      <w:r w:rsidR="00E45FE6">
        <w:t xml:space="preserve"> – opposed the initial bid pledge </w:t>
      </w:r>
      <w:r w:rsidR="0015076A">
        <w:t>to</w:t>
      </w:r>
      <w:r w:rsidR="003C72A7">
        <w:t xml:space="preserve"> </w:t>
      </w:r>
      <w:r w:rsidR="00E22701">
        <w:t xml:space="preserve">fold the </w:t>
      </w:r>
      <w:r w:rsidR="0015076A">
        <w:t>stadium</w:t>
      </w:r>
      <w:r w:rsidR="00E22701">
        <w:t xml:space="preserve"> </w:t>
      </w:r>
      <w:r w:rsidR="0015076A">
        <w:t xml:space="preserve">into an athletics </w:t>
      </w:r>
      <w:r w:rsidR="009E00D5">
        <w:t xml:space="preserve">venue </w:t>
      </w:r>
      <w:r w:rsidR="0015076A">
        <w:t xml:space="preserve">after the games. After two years of </w:t>
      </w:r>
      <w:r w:rsidR="00186E0C">
        <w:t>failed</w:t>
      </w:r>
      <w:r w:rsidR="0015076A">
        <w:t xml:space="preserve"> talks,</w:t>
      </w:r>
      <w:r w:rsidRPr="00390B67">
        <w:t xml:space="preserve"> the </w:t>
      </w:r>
      <w:r w:rsidR="0015076A">
        <w:t xml:space="preserve">ODA </w:t>
      </w:r>
      <w:r w:rsidRPr="00390B67">
        <w:t>suggested increasing the</w:t>
      </w:r>
      <w:r w:rsidR="0015076A">
        <w:t xml:space="preserve"> </w:t>
      </w:r>
      <w:r w:rsidRPr="00390B67">
        <w:t>budget</w:t>
      </w:r>
      <w:r w:rsidR="0015076A">
        <w:t xml:space="preserve"> </w:t>
      </w:r>
      <w:r w:rsidRPr="00390B67">
        <w:t>by 20% (~£100m) to build retractable seating</w:t>
      </w:r>
      <w:r>
        <w:t xml:space="preserve"> and </w:t>
      </w:r>
      <w:r w:rsidR="00D94063">
        <w:t xml:space="preserve">thus allow for </w:t>
      </w:r>
      <w:r>
        <w:t>dual use</w:t>
      </w:r>
      <w:r w:rsidRPr="00390B67">
        <w:t xml:space="preserve">. </w:t>
      </w:r>
      <w:r w:rsidR="00F81976">
        <w:t>Unmoved,</w:t>
      </w:r>
      <w:r w:rsidRPr="00390B67">
        <w:t xml:space="preserve"> football aficionados </w:t>
      </w:r>
      <w:r w:rsidR="0015076A">
        <w:t xml:space="preserve">ruled out </w:t>
      </w:r>
      <w:r w:rsidRPr="00390B67">
        <w:t xml:space="preserve">what they called a ‘jack-of-all-trades’ design. With time running out, the Olympic board </w:t>
      </w:r>
      <w:r w:rsidR="00F35551">
        <w:t>went</w:t>
      </w:r>
      <w:r w:rsidRPr="00390B67">
        <w:t xml:space="preserve"> ahead with </w:t>
      </w:r>
      <w:r w:rsidR="00186E0C">
        <w:t>a</w:t>
      </w:r>
      <w:r w:rsidR="00D94063">
        <w:t xml:space="preserve">n unresolved </w:t>
      </w:r>
      <w:r w:rsidRPr="00390B67">
        <w:t xml:space="preserve">design for the </w:t>
      </w:r>
      <w:r w:rsidR="00D94063">
        <w:t xml:space="preserve">2012 </w:t>
      </w:r>
      <w:r w:rsidRPr="00390B67">
        <w:t>Games</w:t>
      </w:r>
      <w:r w:rsidR="00494C5F">
        <w:t xml:space="preserve"> </w:t>
      </w:r>
      <w:r w:rsidR="00F81976">
        <w:t>that</w:t>
      </w:r>
      <w:r w:rsidR="00494C5F">
        <w:t xml:space="preserve"> </w:t>
      </w:r>
      <w:r w:rsidR="0029788F">
        <w:t xml:space="preserve">increased the cost </w:t>
      </w:r>
      <w:r w:rsidR="00F81976">
        <w:t>by some</w:t>
      </w:r>
      <w:r w:rsidR="0029788F">
        <w:t xml:space="preserve"> </w:t>
      </w:r>
      <w:r w:rsidR="00E12E28">
        <w:t xml:space="preserve">fifty percent. </w:t>
      </w:r>
      <w:r w:rsidR="00F81976">
        <w:t>Still,</w:t>
      </w:r>
      <w:r w:rsidR="00E90F80">
        <w:t xml:space="preserve"> </w:t>
      </w:r>
      <w:r w:rsidR="00D94063">
        <w:t xml:space="preserve">the </w:t>
      </w:r>
      <w:r w:rsidRPr="00390B67">
        <w:t xml:space="preserve">tussles between the disputants dragged </w:t>
      </w:r>
      <w:r w:rsidR="00F81976">
        <w:t xml:space="preserve">on </w:t>
      </w:r>
      <w:r w:rsidR="0015076A">
        <w:t>until</w:t>
      </w:r>
      <w:r w:rsidR="005454D9">
        <w:t xml:space="preserve"> 2014</w:t>
      </w:r>
      <w:r w:rsidR="0015076A">
        <w:t xml:space="preserve"> when</w:t>
      </w:r>
      <w:r>
        <w:t xml:space="preserve"> </w:t>
      </w:r>
      <w:r w:rsidR="00E12E28">
        <w:t>the</w:t>
      </w:r>
      <w:r>
        <w:t xml:space="preserve"> </w:t>
      </w:r>
      <w:r w:rsidRPr="00390B67">
        <w:t>dual-use idea</w:t>
      </w:r>
      <w:r w:rsidR="00186E0C">
        <w:t xml:space="preserve"> was </w:t>
      </w:r>
      <w:r w:rsidR="00E90F80">
        <w:t xml:space="preserve">finally </w:t>
      </w:r>
      <w:r w:rsidR="00186E0C">
        <w:t>accepted</w:t>
      </w:r>
      <w:r w:rsidR="00E90F80">
        <w:t xml:space="preserve"> by all the participants</w:t>
      </w:r>
      <w:r w:rsidR="005454D9">
        <w:t xml:space="preserve">. By 2016, </w:t>
      </w:r>
      <w:r w:rsidRPr="00390B67">
        <w:t>the conversion</w:t>
      </w:r>
      <w:r w:rsidR="00E12E28">
        <w:t xml:space="preserve"> cost</w:t>
      </w:r>
      <w:r w:rsidRPr="00390B67">
        <w:t xml:space="preserve"> </w:t>
      </w:r>
      <w:r w:rsidR="0029788F">
        <w:t xml:space="preserve">had </w:t>
      </w:r>
      <w:r w:rsidRPr="00390B67">
        <w:t>reached £</w:t>
      </w:r>
      <w:r w:rsidR="005454D9">
        <w:t>323</w:t>
      </w:r>
      <w:r w:rsidR="005454D9" w:rsidRPr="00390B67">
        <w:t>m</w:t>
      </w:r>
      <w:r w:rsidR="005454D9">
        <w:t xml:space="preserve">, </w:t>
      </w:r>
      <w:r w:rsidR="0029788F">
        <w:t xml:space="preserve">more than </w:t>
      </w:r>
      <w:r w:rsidR="00F81976">
        <w:t xml:space="preserve">doubling </w:t>
      </w:r>
      <w:r w:rsidR="0029788F">
        <w:t>the initial cost forecast for the stadium</w:t>
      </w:r>
      <w:r w:rsidR="0015076A">
        <w:t>.</w:t>
      </w:r>
    </w:p>
    <w:p w14:paraId="786EF0C4" w14:textId="5B9618D7" w:rsidR="009F3603" w:rsidRPr="00390B67" w:rsidRDefault="00E22701" w:rsidP="009F3603">
      <w:r>
        <w:lastRenderedPageBreak/>
        <w:t>In sum</w:t>
      </w:r>
      <w:r w:rsidR="009F3603" w:rsidRPr="00390B67">
        <w:t xml:space="preserve">, </w:t>
      </w:r>
      <w:r w:rsidR="009F3603" w:rsidRPr="005B19E1">
        <w:t>resolving</w:t>
      </w:r>
      <w:r w:rsidR="00E12E28">
        <w:t xml:space="preserve"> local</w:t>
      </w:r>
      <w:r w:rsidR="009F3603" w:rsidRPr="005B19E1">
        <w:t xml:space="preserve"> disputes </w:t>
      </w:r>
      <w:r w:rsidR="00494C5F">
        <w:t>consistently</w:t>
      </w:r>
      <w:r w:rsidR="009F3603" w:rsidRPr="005B19E1">
        <w:t xml:space="preserve"> required throwing more resources</w:t>
      </w:r>
      <w:r w:rsidR="005454D9">
        <w:t xml:space="preserve"> (money, time)</w:t>
      </w:r>
      <w:r w:rsidR="009F3603" w:rsidRPr="005B19E1">
        <w:t xml:space="preserve"> into the pot. This finding resonates with claims </w:t>
      </w:r>
      <w:r w:rsidR="005454D9">
        <w:t>in the projects literature</w:t>
      </w:r>
      <w:r w:rsidR="00A85996">
        <w:t xml:space="preserve"> that promoter</w:t>
      </w:r>
      <w:r w:rsidR="00E12E28">
        <w:t>s</w:t>
      </w:r>
      <w:r w:rsidR="00A85996">
        <w:t xml:space="preserve"> regularly underestimate </w:t>
      </w:r>
      <w:r w:rsidR="00481486">
        <w:t xml:space="preserve">the initial </w:t>
      </w:r>
      <w:r w:rsidR="00A85996">
        <w:t>performance targets</w:t>
      </w:r>
      <w:r w:rsidR="00F81976">
        <w:t>, leading to huge budgetary increases downstream</w:t>
      </w:r>
      <w:r w:rsidR="005454D9">
        <w:t xml:space="preserve">. </w:t>
      </w:r>
      <w:r w:rsidR="00F81976">
        <w:t>C</w:t>
      </w:r>
      <w:r w:rsidR="005454D9">
        <w:t xml:space="preserve">rucially, </w:t>
      </w:r>
      <w:r w:rsidR="00F81976">
        <w:t>these results</w:t>
      </w:r>
      <w:r w:rsidR="005454D9">
        <w:t xml:space="preserve"> </w:t>
      </w:r>
      <w:r w:rsidR="00840125">
        <w:t xml:space="preserve">show </w:t>
      </w:r>
      <w:r w:rsidR="00494C5F">
        <w:t>that</w:t>
      </w:r>
      <w:r w:rsidR="005454D9">
        <w:t xml:space="preserve"> </w:t>
      </w:r>
      <w:r w:rsidR="00186E0C">
        <w:t xml:space="preserve">performance </w:t>
      </w:r>
      <w:r w:rsidR="00494C5F">
        <w:t xml:space="preserve">slippages </w:t>
      </w:r>
      <w:r w:rsidR="00840125">
        <w:t xml:space="preserve">are </w:t>
      </w:r>
      <w:r w:rsidR="00F81976">
        <w:t xml:space="preserve">often </w:t>
      </w:r>
      <w:r w:rsidR="00840125">
        <w:t>rooted in</w:t>
      </w:r>
      <w:r w:rsidR="005454D9">
        <w:t xml:space="preserve"> </w:t>
      </w:r>
      <w:r w:rsidR="00E12E28">
        <w:t xml:space="preserve">local </w:t>
      </w:r>
      <w:r w:rsidR="00186E0C">
        <w:t>searches for consensus</w:t>
      </w:r>
      <w:r w:rsidR="00F81976">
        <w:t xml:space="preserve"> and</w:t>
      </w:r>
      <w:r w:rsidR="00A85996">
        <w:t xml:space="preserve"> </w:t>
      </w:r>
      <w:r w:rsidR="00840125">
        <w:t>since the</w:t>
      </w:r>
      <w:r w:rsidR="00494C5F">
        <w:t xml:space="preserve"> performance targets are set by the</w:t>
      </w:r>
      <w:r w:rsidR="00840125">
        <w:t xml:space="preserve"> promoter</w:t>
      </w:r>
      <w:r w:rsidR="00494C5F">
        <w:t>,</w:t>
      </w:r>
      <w:r w:rsidR="00E12E28">
        <w:t xml:space="preserve"> </w:t>
      </w:r>
      <w:r w:rsidR="00494C5F">
        <w:t>it is tempting to blame the</w:t>
      </w:r>
      <w:r w:rsidR="00840125">
        <w:t xml:space="preserve"> </w:t>
      </w:r>
      <w:r w:rsidR="009F3603" w:rsidRPr="005B19E1">
        <w:t>slippages</w:t>
      </w:r>
      <w:r w:rsidR="00840125">
        <w:t xml:space="preserve"> </w:t>
      </w:r>
      <w:r w:rsidR="00186E0C">
        <w:t>on</w:t>
      </w:r>
      <w:r w:rsidR="00840125">
        <w:t xml:space="preserve"> the promoter. </w:t>
      </w:r>
      <w:r w:rsidR="00840125" w:rsidRPr="00390B67">
        <w:t>We turn now to discuss</w:t>
      </w:r>
      <w:r w:rsidR="00840125">
        <w:t xml:space="preserve"> </w:t>
      </w:r>
      <w:r w:rsidR="00840125" w:rsidRPr="00390B67">
        <w:t>differences in</w:t>
      </w:r>
      <w:r w:rsidR="00840125">
        <w:t xml:space="preserve"> the </w:t>
      </w:r>
      <w:r w:rsidR="00494C5F">
        <w:t xml:space="preserve">administrative </w:t>
      </w:r>
      <w:r w:rsidR="00840125">
        <w:t xml:space="preserve">structures </w:t>
      </w:r>
      <w:r w:rsidR="00494C5F">
        <w:t xml:space="preserve">that the </w:t>
      </w:r>
      <w:r w:rsidR="00840125">
        <w:t xml:space="preserve">promoter </w:t>
      </w:r>
      <w:r w:rsidR="00494C5F">
        <w:t xml:space="preserve">itself </w:t>
      </w:r>
      <w:r w:rsidR="00840125">
        <w:t>can deploy to mitigate this</w:t>
      </w:r>
      <w:r w:rsidR="00481486">
        <w:t xml:space="preserve"> </w:t>
      </w:r>
      <w:r w:rsidR="00840125">
        <w:t>risk, and the impact on</w:t>
      </w:r>
      <w:r w:rsidR="00D94063">
        <w:t xml:space="preserve"> project</w:t>
      </w:r>
      <w:r w:rsidR="00840125">
        <w:t xml:space="preserve"> performance</w:t>
      </w:r>
      <w:r w:rsidR="00840125" w:rsidRPr="00390B67">
        <w:t>.</w:t>
      </w:r>
      <w:r w:rsidR="009F3603" w:rsidRPr="00390B67">
        <w:t xml:space="preserve"> </w:t>
      </w:r>
    </w:p>
    <w:p w14:paraId="0E70FFEA" w14:textId="3CD78971" w:rsidR="00840125" w:rsidRPr="00390B67" w:rsidRDefault="00840125" w:rsidP="00840125">
      <w:pPr>
        <w:pStyle w:val="Heading2"/>
        <w:numPr>
          <w:ilvl w:val="1"/>
          <w:numId w:val="9"/>
        </w:numPr>
        <w:spacing w:line="480" w:lineRule="auto"/>
        <w:rPr>
          <w:b w:val="0"/>
          <w:i/>
        </w:rPr>
      </w:pPr>
      <w:r w:rsidRPr="00390B67">
        <w:rPr>
          <w:b w:val="0"/>
          <w:i/>
        </w:rPr>
        <w:t>Variance in the Use of Slack Resources</w:t>
      </w:r>
      <w:r w:rsidR="00E90F80">
        <w:rPr>
          <w:b w:val="0"/>
          <w:i/>
        </w:rPr>
        <w:t xml:space="preserve"> to Mask </w:t>
      </w:r>
      <w:r w:rsidR="00494C5F">
        <w:rPr>
          <w:b w:val="0"/>
          <w:i/>
        </w:rPr>
        <w:t xml:space="preserve">Performance </w:t>
      </w:r>
      <w:r w:rsidR="00E90F80">
        <w:rPr>
          <w:b w:val="0"/>
          <w:i/>
        </w:rPr>
        <w:t>Slippag</w:t>
      </w:r>
      <w:r w:rsidR="00494C5F">
        <w:rPr>
          <w:b w:val="0"/>
          <w:i/>
        </w:rPr>
        <w:t>es</w:t>
      </w:r>
    </w:p>
    <w:p w14:paraId="34E6AD82" w14:textId="14804093" w:rsidR="00971FCB" w:rsidRPr="00390B67" w:rsidRDefault="00971FCB" w:rsidP="00665133">
      <w:r>
        <w:t xml:space="preserve">A second major source of </w:t>
      </w:r>
      <w:r w:rsidR="00F176BE">
        <w:t xml:space="preserve">structural </w:t>
      </w:r>
      <w:r>
        <w:t xml:space="preserve">variance surrounding the </w:t>
      </w:r>
      <w:r w:rsidR="00D94063">
        <w:t xml:space="preserve">local </w:t>
      </w:r>
      <w:r>
        <w:t>disputes relate</w:t>
      </w:r>
      <w:r w:rsidR="00094BF7">
        <w:t>d</w:t>
      </w:r>
      <w:r>
        <w:t xml:space="preserve"> to the</w:t>
      </w:r>
      <w:r w:rsidR="00E90F80">
        <w:t xml:space="preserve"> amount of</w:t>
      </w:r>
      <w:r>
        <w:t xml:space="preserve"> slack </w:t>
      </w:r>
      <w:r w:rsidR="00D94063">
        <w:t>made</w:t>
      </w:r>
      <w:r w:rsidR="00F176BE">
        <w:t xml:space="preserve"> </w:t>
      </w:r>
      <w:r w:rsidR="005E5140">
        <w:t>available</w:t>
      </w:r>
      <w:r>
        <w:t xml:space="preserve"> to </w:t>
      </w:r>
      <w:r w:rsidR="005E5140">
        <w:t>resolve</w:t>
      </w:r>
      <w:r w:rsidR="00D94063">
        <w:t xml:space="preserve"> the</w:t>
      </w:r>
      <w:r>
        <w:t xml:space="preserve"> dispute</w:t>
      </w:r>
      <w:r w:rsidR="00186E0C">
        <w:t>s</w:t>
      </w:r>
      <w:r>
        <w:t xml:space="preserve">. We focused </w:t>
      </w:r>
      <w:r w:rsidR="00094BF7">
        <w:t>our</w:t>
      </w:r>
      <w:r>
        <w:t xml:space="preserve"> analysis on</w:t>
      </w:r>
      <w:r w:rsidR="001B4888">
        <w:t xml:space="preserve"> the contingen</w:t>
      </w:r>
      <w:r w:rsidR="00481486">
        <w:t>cy</w:t>
      </w:r>
      <w:r>
        <w:t xml:space="preserve"> </w:t>
      </w:r>
      <w:r w:rsidR="001B4888">
        <w:t>funds</w:t>
      </w:r>
      <w:r w:rsidR="00186E0C">
        <w:t xml:space="preserve"> </w:t>
      </w:r>
      <w:r w:rsidR="005E5140">
        <w:t>because they enable the promoter to internalise the</w:t>
      </w:r>
      <w:r w:rsidR="00D94063">
        <w:t xml:space="preserve"> extra</w:t>
      </w:r>
      <w:r w:rsidR="005E5140">
        <w:t xml:space="preserve"> cost of local concessions</w:t>
      </w:r>
      <w:r w:rsidR="00D94063">
        <w:t xml:space="preserve"> and thus </w:t>
      </w:r>
      <w:r w:rsidR="005E5140">
        <w:t>sustain a</w:t>
      </w:r>
      <w:r w:rsidR="00481486">
        <w:t xml:space="preserve"> public</w:t>
      </w:r>
      <w:r w:rsidR="005E5140">
        <w:t xml:space="preserve"> narrative that </w:t>
      </w:r>
      <w:r w:rsidR="005E5140" w:rsidRPr="00390B67">
        <w:t xml:space="preserve">the project </w:t>
      </w:r>
      <w:r w:rsidR="005E5140">
        <w:t>is</w:t>
      </w:r>
      <w:r w:rsidR="005E5140" w:rsidRPr="00390B67">
        <w:t xml:space="preserve"> ‘on target’</w:t>
      </w:r>
      <w:r w:rsidR="005E5140">
        <w:t xml:space="preserve">. </w:t>
      </w:r>
      <w:r>
        <w:t xml:space="preserve">In the </w:t>
      </w:r>
      <w:r w:rsidR="005E5140">
        <w:t xml:space="preserve">sampled </w:t>
      </w:r>
      <w:r w:rsidR="001B4888">
        <w:t>public projects,</w:t>
      </w:r>
      <w:r w:rsidR="001B4888" w:rsidRPr="001B4888">
        <w:t xml:space="preserve"> </w:t>
      </w:r>
      <w:r w:rsidR="00D16FF7">
        <w:t xml:space="preserve">UK </w:t>
      </w:r>
      <w:r w:rsidR="00094BF7">
        <w:t xml:space="preserve">Treasury </w:t>
      </w:r>
      <w:r w:rsidR="0029788F">
        <w:t>policy recommended</w:t>
      </w:r>
      <w:r w:rsidR="001B4888">
        <w:t xml:space="preserve"> promoters</w:t>
      </w:r>
      <w:r w:rsidR="00481486">
        <w:t xml:space="preserve"> to</w:t>
      </w:r>
      <w:r w:rsidR="001B4888">
        <w:t xml:space="preserve"> </w:t>
      </w:r>
      <w:r w:rsidR="00094BF7">
        <w:t>set</w:t>
      </w:r>
      <w:r w:rsidR="001B4888" w:rsidRPr="00CD1CC5">
        <w:t xml:space="preserve"> aside a</w:t>
      </w:r>
      <w:r w:rsidR="001B4888">
        <w:t xml:space="preserve"> substanti</w:t>
      </w:r>
      <w:r w:rsidR="00094BF7">
        <w:t>al</w:t>
      </w:r>
      <w:r w:rsidR="001B4888" w:rsidRPr="00CD1CC5">
        <w:t xml:space="preserve"> percentage of the</w:t>
      </w:r>
      <w:r w:rsidR="0029788F">
        <w:t xml:space="preserve"> </w:t>
      </w:r>
      <w:r w:rsidR="00481486">
        <w:t xml:space="preserve">initial </w:t>
      </w:r>
      <w:r w:rsidR="001B4888" w:rsidRPr="00CD1CC5">
        <w:t>cost</w:t>
      </w:r>
      <w:r w:rsidR="001B4888">
        <w:t xml:space="preserve"> forecast</w:t>
      </w:r>
      <w:r w:rsidR="005E5140">
        <w:t xml:space="preserve"> into a contingency</w:t>
      </w:r>
      <w:r w:rsidR="00E90F80">
        <w:t xml:space="preserve"> fund</w:t>
      </w:r>
      <w:r w:rsidR="005E5140">
        <w:t xml:space="preserve"> </w:t>
      </w:r>
      <w:r w:rsidR="001B4888" w:rsidRPr="00CD1CC5">
        <w:t xml:space="preserve">to </w:t>
      </w:r>
      <w:r w:rsidR="00F176BE">
        <w:t>neutralise</w:t>
      </w:r>
      <w:r w:rsidR="001B4888">
        <w:t xml:space="preserve"> </w:t>
      </w:r>
      <w:r w:rsidR="001B4888" w:rsidRPr="00390B67">
        <w:t>optimism bias</w:t>
      </w:r>
      <w:r w:rsidR="001B4888" w:rsidRPr="00390B67">
        <w:rPr>
          <w:rStyle w:val="FootnoteReference"/>
        </w:rPr>
        <w:footnoteReference w:id="6"/>
      </w:r>
      <w:r w:rsidR="001B4888" w:rsidRPr="00390B67">
        <w:t>.</w:t>
      </w:r>
      <w:r w:rsidR="001B4888">
        <w:t xml:space="preserve"> T</w:t>
      </w:r>
      <w:r>
        <w:t xml:space="preserve">he </w:t>
      </w:r>
      <w:r w:rsidRPr="00390B67">
        <w:t>elected leaders</w:t>
      </w:r>
      <w:r w:rsidR="001B4888">
        <w:t xml:space="preserve"> </w:t>
      </w:r>
      <w:r w:rsidR="005E5140">
        <w:t xml:space="preserve">adhered to </w:t>
      </w:r>
      <w:r w:rsidR="00E90F80">
        <w:t xml:space="preserve">this </w:t>
      </w:r>
      <w:r w:rsidR="005E5140">
        <w:t>policy</w:t>
      </w:r>
      <w:r w:rsidR="00481486">
        <w:t xml:space="preserve"> unreservedly</w:t>
      </w:r>
      <w:r w:rsidR="005E5140">
        <w:t xml:space="preserve"> since they</w:t>
      </w:r>
      <w:r w:rsidR="0029788F">
        <w:t xml:space="preserve"> also</w:t>
      </w:r>
      <w:r w:rsidR="005E5140">
        <w:t xml:space="preserve"> </w:t>
      </w:r>
      <w:r w:rsidRPr="00390B67">
        <w:t>had</w:t>
      </w:r>
      <w:r w:rsidR="001B4888">
        <w:t xml:space="preserve"> </w:t>
      </w:r>
      <w:r w:rsidRPr="00390B67">
        <w:t>no appetite to let the budget</w:t>
      </w:r>
      <w:r w:rsidR="00D94063">
        <w:t xml:space="preserve"> envelope</w:t>
      </w:r>
      <w:r w:rsidR="001B4888">
        <w:t xml:space="preserve"> </w:t>
      </w:r>
      <w:r w:rsidRPr="00390B67">
        <w:t>(cost forecast plus contingency)</w:t>
      </w:r>
      <w:r w:rsidR="00094BF7">
        <w:t xml:space="preserve"> publically</w:t>
      </w:r>
      <w:r w:rsidRPr="00390B67">
        <w:rPr>
          <w:i/>
        </w:rPr>
        <w:t xml:space="preserve"> </w:t>
      </w:r>
      <w:r w:rsidRPr="00390B67">
        <w:t>slip multiple times</w:t>
      </w:r>
      <w:r w:rsidR="00094BF7">
        <w:t>. A</w:t>
      </w:r>
      <w:r w:rsidRPr="00CD1CC5">
        <w:t xml:space="preserve">s one </w:t>
      </w:r>
      <w:r w:rsidRPr="00390B67">
        <w:t xml:space="preserve">civil servant explained: </w:t>
      </w:r>
      <w:r>
        <w:t>‘</w:t>
      </w:r>
      <w:r w:rsidRPr="00390B67">
        <w:t>There’s a bandwidth there…if we push it [budget] too far we won’t get the project...so there’s that game that goes on to try and find what the [</w:t>
      </w:r>
      <w:r>
        <w:t>UK] Treasury’s real limits are</w:t>
      </w:r>
      <w:r w:rsidRPr="00390B67">
        <w:t>…it’s a political decision.</w:t>
      </w:r>
      <w:r w:rsidR="000906EE">
        <w:t>”</w:t>
      </w:r>
    </w:p>
    <w:p w14:paraId="2AF7D69B" w14:textId="173A012D" w:rsidR="00C154DA" w:rsidRPr="00390B67" w:rsidRDefault="00C154DA" w:rsidP="00C154DA">
      <w:r w:rsidRPr="00390B67">
        <w:t>The Olympic Park case is a good example</w:t>
      </w:r>
      <w:r w:rsidR="003D644F">
        <w:t xml:space="preserve"> of this phenomenon at work</w:t>
      </w:r>
      <w:r w:rsidRPr="00390B67">
        <w:t>. The bid cost forecast (~£4.9bn</w:t>
      </w:r>
      <w:r w:rsidRPr="00390B67">
        <w:rPr>
          <w:rStyle w:val="FootnoteReference"/>
        </w:rPr>
        <w:footnoteReference w:id="7"/>
      </w:r>
      <w:r w:rsidRPr="00390B67">
        <w:t xml:space="preserve">) turned out to be insufficient to meet the bid pledges </w:t>
      </w:r>
      <w:r w:rsidR="0029788F">
        <w:t>and</w:t>
      </w:r>
      <w:r w:rsidRPr="00390B67">
        <w:t xml:space="preserve"> the</w:t>
      </w:r>
      <w:r w:rsidR="00D16FF7">
        <w:t xml:space="preserve"> </w:t>
      </w:r>
      <w:r w:rsidR="00481486">
        <w:t xml:space="preserve">multiple </w:t>
      </w:r>
      <w:r w:rsidR="00D16FF7">
        <w:t>local</w:t>
      </w:r>
      <w:r w:rsidR="00E90F80">
        <w:t xml:space="preserve"> </w:t>
      </w:r>
      <w:r>
        <w:t>dispute</w:t>
      </w:r>
      <w:r w:rsidRPr="00390B67">
        <w:t>s</w:t>
      </w:r>
      <w:r w:rsidR="00D16FF7">
        <w:t xml:space="preserve"> </w:t>
      </w:r>
      <w:r w:rsidR="00481486">
        <w:t xml:space="preserve">that were </w:t>
      </w:r>
      <w:r w:rsidR="00D16FF7">
        <w:t>likely to ensue</w:t>
      </w:r>
      <w:r w:rsidRPr="00390B67">
        <w:t xml:space="preserve">—‘it’s like the Olympics will solve all </w:t>
      </w:r>
      <w:r w:rsidRPr="00390B67">
        <w:lastRenderedPageBreak/>
        <w:t xml:space="preserve">the world’s problems’, said one official. To get a grip on a chaotic situation, in </w:t>
      </w:r>
      <w:r w:rsidR="00D94063">
        <w:t xml:space="preserve">late </w:t>
      </w:r>
      <w:r w:rsidRPr="00390B67">
        <w:t xml:space="preserve">2005, the promoter set a 2-4-1 target: two years to plan, four to build, and one to test. </w:t>
      </w:r>
      <w:r w:rsidR="00694569">
        <w:t>However,</w:t>
      </w:r>
      <w:r w:rsidRPr="00390B67">
        <w:t xml:space="preserve"> </w:t>
      </w:r>
      <w:r>
        <w:t xml:space="preserve">by </w:t>
      </w:r>
      <w:r w:rsidRPr="00390B67">
        <w:t xml:space="preserve">mid-2006, </w:t>
      </w:r>
      <w:r w:rsidR="00D94063">
        <w:t>numerous</w:t>
      </w:r>
      <w:r w:rsidR="00D94063" w:rsidRPr="00390B67">
        <w:t xml:space="preserve"> </w:t>
      </w:r>
      <w:r w:rsidR="00481486">
        <w:t xml:space="preserve">local </w:t>
      </w:r>
      <w:r w:rsidRPr="00390B67">
        <w:t>disputes remained unresolved</w:t>
      </w:r>
      <w:r w:rsidR="00694569">
        <w:t xml:space="preserve"> and f</w:t>
      </w:r>
      <w:r w:rsidRPr="00390B67">
        <w:t xml:space="preserve">acing an immovable deadline, the promoter chose to set </w:t>
      </w:r>
      <w:r w:rsidR="00694569">
        <w:t xml:space="preserve">aside </w:t>
      </w:r>
      <w:r w:rsidRPr="00390B67">
        <w:t>a large contingency (£2</w:t>
      </w:r>
      <w:r w:rsidR="00F176BE">
        <w:t>.0</w:t>
      </w:r>
      <w:r w:rsidRPr="00390B67">
        <w:t>bn) on top of what was by then a much higher cost forecast (~£6.1bn); one official said:</w:t>
      </w:r>
    </w:p>
    <w:p w14:paraId="00F0BB60" w14:textId="77777777" w:rsidR="00C154DA" w:rsidRPr="00390B67" w:rsidRDefault="00C154DA" w:rsidP="00C154DA">
      <w:pPr>
        <w:pStyle w:val="Quote"/>
      </w:pPr>
      <w:r w:rsidRPr="00390B67">
        <w:t xml:space="preserve">Treasury were really, really clear...big envelope and never knock on our door for money…actually they were right…we were then able to make decisions…rather than being petrified because we didn’t have enough money to do what we needed to do. </w:t>
      </w:r>
    </w:p>
    <w:p w14:paraId="0BE46BB3" w14:textId="274BD08C" w:rsidR="00840125" w:rsidRPr="00390B67" w:rsidRDefault="00946F19" w:rsidP="005E5140">
      <w:r>
        <w:t>A</w:t>
      </w:r>
      <w:r w:rsidR="00C154DA">
        <w:t xml:space="preserve">ppendix </w:t>
      </w:r>
      <w:r>
        <w:t>A</w:t>
      </w:r>
      <w:r w:rsidR="00C154DA" w:rsidRPr="00390B67">
        <w:t xml:space="preserve"> shows a similar pattern for HS2 and Crossrail. In both cases, the promoters faced a public outcry at the </w:t>
      </w:r>
      <w:r w:rsidR="005E5140">
        <w:t xml:space="preserve">planning </w:t>
      </w:r>
      <w:r w:rsidR="00C154DA">
        <w:t xml:space="preserve">onset </w:t>
      </w:r>
      <w:r w:rsidR="005E5140">
        <w:t>related</w:t>
      </w:r>
      <w:r w:rsidR="00C154DA" w:rsidRPr="00390B67">
        <w:t xml:space="preserve"> to</w:t>
      </w:r>
      <w:r w:rsidR="0029788F">
        <w:t xml:space="preserve"> </w:t>
      </w:r>
      <w:r w:rsidR="005E5140">
        <w:t xml:space="preserve">cost </w:t>
      </w:r>
      <w:r w:rsidR="00C154DA" w:rsidRPr="00390B67">
        <w:t>slippages</w:t>
      </w:r>
      <w:r w:rsidR="001B4888">
        <w:t xml:space="preserve">. </w:t>
      </w:r>
      <w:r w:rsidR="00C154DA" w:rsidRPr="00390B67">
        <w:t xml:space="preserve">To mitigate the risks of further </w:t>
      </w:r>
      <w:r w:rsidR="00F176BE">
        <w:t>overrun</w:t>
      </w:r>
      <w:r w:rsidR="00C154DA" w:rsidRPr="00390B67">
        <w:t xml:space="preserve">s the promoters </w:t>
      </w:r>
      <w:r w:rsidR="0029788F">
        <w:t>set</w:t>
      </w:r>
      <w:r w:rsidR="00C154DA">
        <w:t xml:space="preserve"> </w:t>
      </w:r>
      <w:r w:rsidR="00C26516">
        <w:t>large contingencies</w:t>
      </w:r>
      <w:r w:rsidR="00C154DA" w:rsidRPr="00390B67">
        <w:t>.</w:t>
      </w:r>
      <w:r w:rsidR="00C154DA">
        <w:t xml:space="preserve"> </w:t>
      </w:r>
      <w:r w:rsidR="00C26516">
        <w:t>The</w:t>
      </w:r>
      <w:r w:rsidR="005E5140" w:rsidRPr="00390B67">
        <w:t xml:space="preserve"> use of </w:t>
      </w:r>
      <w:r w:rsidR="00C26516">
        <w:t xml:space="preserve">the </w:t>
      </w:r>
      <w:r w:rsidR="005E5140">
        <w:t>contingency funds</w:t>
      </w:r>
      <w:r w:rsidR="005E5140" w:rsidRPr="00390B67">
        <w:t xml:space="preserve"> </w:t>
      </w:r>
      <w:r w:rsidR="005E5140">
        <w:t xml:space="preserve">was </w:t>
      </w:r>
      <w:r w:rsidR="005E5140" w:rsidRPr="00390B67">
        <w:t>scrutinised by watchdogs to reduce moral hazard—‘[contingencies] are there for known risks</w:t>
      </w:r>
      <w:r w:rsidR="005E5140">
        <w:t>,</w:t>
      </w:r>
      <w:r w:rsidR="005E5140" w:rsidRPr="00390B67">
        <w:t xml:space="preserve"> not for somebody’s betterment’, said one official. </w:t>
      </w:r>
      <w:r w:rsidR="00D94063">
        <w:t>But s</w:t>
      </w:r>
      <w:r w:rsidR="00C26516">
        <w:t xml:space="preserve">imilarly to </w:t>
      </w:r>
      <w:r w:rsidR="005E5140" w:rsidRPr="00390B67">
        <w:t>London 2012</w:t>
      </w:r>
      <w:r w:rsidR="00C26516">
        <w:t xml:space="preserve">, both </w:t>
      </w:r>
      <w:r w:rsidR="005E5140" w:rsidRPr="00390B67">
        <w:t>Crossrail (NAO 2014)</w:t>
      </w:r>
      <w:r w:rsidR="00C26516">
        <w:t xml:space="preserve"> </w:t>
      </w:r>
      <w:r w:rsidR="005E5140" w:rsidRPr="00390B67">
        <w:t xml:space="preserve">and HS2 </w:t>
      </w:r>
      <w:r w:rsidR="005E5140">
        <w:t>(Butcher 2015</w:t>
      </w:r>
      <w:r w:rsidR="00C26516">
        <w:t>)</w:t>
      </w:r>
      <w:r w:rsidR="00C26516" w:rsidRPr="00C26516">
        <w:t xml:space="preserve"> </w:t>
      </w:r>
      <w:r w:rsidR="00C26516">
        <w:t>depleted their contingencies</w:t>
      </w:r>
      <w:r w:rsidR="00357683">
        <w:t>; still, in the public discourse, all projects were ‘on target’</w:t>
      </w:r>
      <w:r w:rsidR="005E5140">
        <w:t xml:space="preserve">. </w:t>
      </w:r>
      <w:r w:rsidR="00C154DA">
        <w:t>In marked contrast, i</w:t>
      </w:r>
      <w:r w:rsidR="00C154DA" w:rsidRPr="00390B67">
        <w:t>n the</w:t>
      </w:r>
      <w:r w:rsidR="00C154DA">
        <w:t xml:space="preserve"> privately-financed</w:t>
      </w:r>
      <w:r w:rsidR="00C154DA" w:rsidRPr="00390B67">
        <w:t xml:space="preserve"> T2, </w:t>
      </w:r>
      <w:r w:rsidR="00C154DA">
        <w:t xml:space="preserve">this </w:t>
      </w:r>
      <w:r w:rsidR="000906EE">
        <w:t>procedure</w:t>
      </w:r>
      <w:r w:rsidR="00C154DA">
        <w:t xml:space="preserve"> </w:t>
      </w:r>
      <w:r w:rsidR="00C154DA" w:rsidRPr="00390B67">
        <w:t>was ruled out</w:t>
      </w:r>
      <w:r w:rsidR="00C154DA">
        <w:t>. First</w:t>
      </w:r>
      <w:r w:rsidR="00C154DA" w:rsidRPr="00390B67">
        <w:t xml:space="preserve">, BAA seemed confident on its ability to parry any backlash caused by </w:t>
      </w:r>
      <w:r w:rsidR="00B50D24">
        <w:t xml:space="preserve">cost </w:t>
      </w:r>
      <w:r w:rsidR="00C154DA" w:rsidRPr="00390B67">
        <w:t>slippages</w:t>
      </w:r>
      <w:r w:rsidR="00B50D24">
        <w:t xml:space="preserve"> since there was less public scrutiny</w:t>
      </w:r>
      <w:r w:rsidR="00C154DA" w:rsidRPr="00390B67">
        <w:t xml:space="preserve">. </w:t>
      </w:r>
      <w:r w:rsidR="00B50D24">
        <w:t>And s</w:t>
      </w:r>
      <w:r w:rsidR="00C154DA">
        <w:t>econd</w:t>
      </w:r>
      <w:r w:rsidR="00C154DA" w:rsidRPr="00390B67">
        <w:t xml:space="preserve">, </w:t>
      </w:r>
      <w:r w:rsidR="001B4888">
        <w:t>since BAA had a guaranteed return on capital investment, the airlines</w:t>
      </w:r>
      <w:r w:rsidR="009313D5">
        <w:t xml:space="preserve"> and regulator</w:t>
      </w:r>
      <w:r w:rsidR="001B4888">
        <w:t xml:space="preserve"> </w:t>
      </w:r>
      <w:r w:rsidR="00C154DA" w:rsidRPr="00390B67">
        <w:t>were</w:t>
      </w:r>
      <w:r w:rsidR="009313D5">
        <w:t xml:space="preserve"> </w:t>
      </w:r>
      <w:r w:rsidR="00C154DA" w:rsidRPr="00390B67">
        <w:t xml:space="preserve">against </w:t>
      </w:r>
      <w:r w:rsidR="00C154DA">
        <w:t xml:space="preserve">large contingencies </w:t>
      </w:r>
      <w:r w:rsidR="00B50D24">
        <w:t>to keep the</w:t>
      </w:r>
      <w:r w:rsidR="005E5140">
        <w:t xml:space="preserve"> construction</w:t>
      </w:r>
      <w:r w:rsidR="00B50D24">
        <w:t xml:space="preserve"> costs down</w:t>
      </w:r>
      <w:r w:rsidR="00C154DA">
        <w:t xml:space="preserve">. As a result, </w:t>
      </w:r>
      <w:r w:rsidR="00C154DA" w:rsidRPr="00390B67">
        <w:t>the T2</w:t>
      </w:r>
      <w:r w:rsidR="00C154DA">
        <w:t xml:space="preserve"> planning</w:t>
      </w:r>
      <w:r w:rsidR="00C154DA" w:rsidRPr="00390B67">
        <w:t xml:space="preserve"> </w:t>
      </w:r>
      <w:r w:rsidR="00C154DA">
        <w:t xml:space="preserve">unfolded </w:t>
      </w:r>
      <w:r w:rsidR="00C154DA" w:rsidRPr="00390B67">
        <w:t>with a single</w:t>
      </w:r>
      <w:r w:rsidR="00F176BE">
        <w:t>-</w:t>
      </w:r>
      <w:r w:rsidR="00C154DA" w:rsidRPr="00390B67">
        <w:t>digit contingency</w:t>
      </w:r>
      <w:r w:rsidR="00F176BE">
        <w:t xml:space="preserve"> which was insufficient to mask</w:t>
      </w:r>
      <w:r w:rsidR="005E5140">
        <w:t xml:space="preserve"> cost overruns</w:t>
      </w:r>
      <w:r w:rsidR="00C154DA">
        <w:t xml:space="preserve">. </w:t>
      </w:r>
    </w:p>
    <w:p w14:paraId="5504686D" w14:textId="228C635A" w:rsidR="00840125" w:rsidRPr="00390B67" w:rsidRDefault="00840125" w:rsidP="00840125">
      <w:r w:rsidRPr="00390B67">
        <w:t xml:space="preserve">In sum </w:t>
      </w:r>
      <w:r w:rsidR="00357683">
        <w:t xml:space="preserve">our </w:t>
      </w:r>
      <w:r w:rsidR="00915B53">
        <w:t xml:space="preserve">cross-case </w:t>
      </w:r>
      <w:r w:rsidRPr="00390B67">
        <w:t xml:space="preserve">analysis reveals two </w:t>
      </w:r>
      <w:r w:rsidR="00946F19">
        <w:t>consistent dynamic</w:t>
      </w:r>
      <w:r w:rsidR="00946F19" w:rsidRPr="00390B67">
        <w:t>s</w:t>
      </w:r>
      <w:r w:rsidRPr="00390B67">
        <w:t xml:space="preserve">: </w:t>
      </w:r>
      <w:proofErr w:type="spellStart"/>
      <w:r w:rsidR="00E20EF0">
        <w:t>i</w:t>
      </w:r>
      <w:proofErr w:type="spellEnd"/>
      <w:r w:rsidR="00E20EF0">
        <w:t>) project organization</w:t>
      </w:r>
      <w:r w:rsidR="00915B53">
        <w:t>s are</w:t>
      </w:r>
      <w:r w:rsidRPr="00390B67">
        <w:t xml:space="preserve"> polycentric to make pluralism more manageable</w:t>
      </w:r>
      <w:r>
        <w:t>;</w:t>
      </w:r>
      <w:r w:rsidRPr="00390B67">
        <w:t xml:space="preserve"> and</w:t>
      </w:r>
      <w:r w:rsidR="00E20EF0">
        <w:t xml:space="preserve"> ii)</w:t>
      </w:r>
      <w:r w:rsidRPr="00390B67">
        <w:t xml:space="preserve"> slippages in </w:t>
      </w:r>
      <w:r w:rsidR="00E20EF0">
        <w:t xml:space="preserve">performance </w:t>
      </w:r>
      <w:r w:rsidRPr="00390B67">
        <w:t xml:space="preserve">targets are necessary to </w:t>
      </w:r>
      <w:r>
        <w:t xml:space="preserve">resolve </w:t>
      </w:r>
      <w:r w:rsidR="00713B16">
        <w:t xml:space="preserve">local </w:t>
      </w:r>
      <w:r>
        <w:t>disputes</w:t>
      </w:r>
      <w:r w:rsidR="00E20EF0">
        <w:t xml:space="preserve"> endemic to </w:t>
      </w:r>
      <w:r w:rsidR="00946F19">
        <w:t>the</w:t>
      </w:r>
      <w:r w:rsidR="00E20EF0">
        <w:t xml:space="preserve"> polycentric </w:t>
      </w:r>
      <w:r w:rsidR="00915B53">
        <w:t>architecture</w:t>
      </w:r>
      <w:r w:rsidR="00946F19">
        <w:t>s</w:t>
      </w:r>
      <w:r w:rsidRPr="00390B67">
        <w:t xml:space="preserve">. Within </w:t>
      </w:r>
      <w:r w:rsidR="00915B53" w:rsidRPr="00390B67">
        <w:t xml:space="preserve">this </w:t>
      </w:r>
      <w:r w:rsidR="00915B53">
        <w:t>broad relationship</w:t>
      </w:r>
      <w:r w:rsidR="00E20EF0">
        <w:t xml:space="preserve"> between organization design and performance</w:t>
      </w:r>
      <w:r w:rsidRPr="00390B67">
        <w:t>, we observe within-set variance</w:t>
      </w:r>
      <w:r w:rsidR="00946F19">
        <w:t>;</w:t>
      </w:r>
      <w:r w:rsidRPr="00390B67">
        <w:t xml:space="preserve"> first, whether </w:t>
      </w:r>
      <w:r w:rsidR="00946F19">
        <w:t xml:space="preserve">or not </w:t>
      </w:r>
      <w:r w:rsidRPr="00390B67">
        <w:t>an umpir</w:t>
      </w:r>
      <w:r w:rsidR="000D62C3">
        <w:t>e</w:t>
      </w:r>
      <w:r w:rsidR="00F176BE">
        <w:t xml:space="preserve"> </w:t>
      </w:r>
      <w:r w:rsidR="00946F19">
        <w:t xml:space="preserve">exists </w:t>
      </w:r>
      <w:r w:rsidR="00E20EF0">
        <w:t xml:space="preserve">to </w:t>
      </w:r>
      <w:r w:rsidR="00E20EF0">
        <w:lastRenderedPageBreak/>
        <w:t>referee disputes</w:t>
      </w:r>
      <w:r>
        <w:t xml:space="preserve">; and second, </w:t>
      </w:r>
      <w:r w:rsidRPr="00390B67">
        <w:t xml:space="preserve">the </w:t>
      </w:r>
      <w:r>
        <w:t>amount of</w:t>
      </w:r>
      <w:r w:rsidRPr="00390B67">
        <w:t xml:space="preserve"> slack</w:t>
      </w:r>
      <w:r w:rsidR="00E20EF0">
        <w:t xml:space="preserve"> the promoter </w:t>
      </w:r>
      <w:r w:rsidR="00915B53">
        <w:t>can deploy</w:t>
      </w:r>
      <w:r>
        <w:t xml:space="preserve"> </w:t>
      </w:r>
      <w:r w:rsidRPr="00390B67">
        <w:t xml:space="preserve">to </w:t>
      </w:r>
      <w:r>
        <w:t>resolve disputes</w:t>
      </w:r>
      <w:r w:rsidRPr="00390B67">
        <w:t>.</w:t>
      </w:r>
      <w:r w:rsidR="00E20EF0">
        <w:t xml:space="preserve"> The juxtaposition of</w:t>
      </w:r>
      <w:r w:rsidR="000D62C3">
        <w:t xml:space="preserve"> structural variance along these two dimensions</w:t>
      </w:r>
      <w:r w:rsidR="00E20EF0">
        <w:t xml:space="preserve"> create</w:t>
      </w:r>
      <w:r w:rsidR="00357683">
        <w:t>s</w:t>
      </w:r>
      <w:r w:rsidR="00E20EF0">
        <w:t xml:space="preserve"> </w:t>
      </w:r>
      <w:r w:rsidR="00915B53">
        <w:t xml:space="preserve">fundamentally </w:t>
      </w:r>
      <w:r w:rsidR="00E20EF0">
        <w:t>different classes of managerial problems</w:t>
      </w:r>
      <w:r w:rsidR="00357683">
        <w:t>. We turn now to discuss how these</w:t>
      </w:r>
      <w:r w:rsidR="000D4478">
        <w:t xml:space="preserve"> </w:t>
      </w:r>
      <w:r w:rsidR="00357683">
        <w:t>insights further our understanding of capital-intensive project organizations.</w:t>
      </w:r>
    </w:p>
    <w:p w14:paraId="5935F61F" w14:textId="1C1BB049" w:rsidR="007D392C" w:rsidRPr="00847527" w:rsidRDefault="007D392C" w:rsidP="00847527">
      <w:pPr>
        <w:pStyle w:val="ListParagraph"/>
        <w:numPr>
          <w:ilvl w:val="0"/>
          <w:numId w:val="9"/>
        </w:numPr>
        <w:rPr>
          <w:b/>
        </w:rPr>
      </w:pPr>
      <w:r w:rsidRPr="00847527">
        <w:rPr>
          <w:b/>
        </w:rPr>
        <w:t>DISCUSSION</w:t>
      </w:r>
    </w:p>
    <w:p w14:paraId="6EC164E0" w14:textId="2D40401C" w:rsidR="00082EDD" w:rsidRDefault="00946F19" w:rsidP="003F2C85">
      <w:r>
        <w:t>We noted at the outset that t</w:t>
      </w:r>
      <w:r w:rsidR="000A0CA6">
        <w:t>he debate on the performance of capital-intensive project</w:t>
      </w:r>
      <w:r w:rsidR="007303BA">
        <w:t>s</w:t>
      </w:r>
      <w:r w:rsidR="000A0CA6">
        <w:t xml:space="preserve"> has been </w:t>
      </w:r>
      <w:r w:rsidR="00082EDD">
        <w:t xml:space="preserve">stuck </w:t>
      </w:r>
      <w:r w:rsidR="000A0CA6">
        <w:t xml:space="preserve">for </w:t>
      </w:r>
      <w:r w:rsidR="00CB17A7">
        <w:t xml:space="preserve">some </w:t>
      </w:r>
      <w:r w:rsidR="000A0CA6">
        <w:t>two decades</w:t>
      </w:r>
      <w:r w:rsidR="00C42094">
        <w:t xml:space="preserve">: one </w:t>
      </w:r>
      <w:r w:rsidR="000A0CA6">
        <w:t>explanation</w:t>
      </w:r>
      <w:r w:rsidR="00C42094">
        <w:t xml:space="preserve"> </w:t>
      </w:r>
      <w:r w:rsidR="000A0CA6">
        <w:t xml:space="preserve">traces </w:t>
      </w:r>
      <w:r w:rsidR="007303BA">
        <w:t xml:space="preserve">performance </w:t>
      </w:r>
      <w:r w:rsidR="000A0CA6">
        <w:t xml:space="preserve">slippages to </w:t>
      </w:r>
      <w:r w:rsidR="00333EB6" w:rsidRPr="00390B67">
        <w:t xml:space="preserve">competence </w:t>
      </w:r>
      <w:r w:rsidR="000A0CA6">
        <w:t xml:space="preserve">and agency </w:t>
      </w:r>
      <w:r w:rsidR="00333EB6" w:rsidRPr="00390B67">
        <w:t>problems</w:t>
      </w:r>
      <w:r w:rsidR="007303BA">
        <w:t xml:space="preserve"> with the promoter</w:t>
      </w:r>
      <w:r w:rsidR="00FF0EE8">
        <w:t>;</w:t>
      </w:r>
      <w:r w:rsidR="000A0CA6">
        <w:t xml:space="preserve"> </w:t>
      </w:r>
      <w:r>
        <w:t xml:space="preserve">the </w:t>
      </w:r>
      <w:r w:rsidR="00FF0EE8">
        <w:t>other traces</w:t>
      </w:r>
      <w:r w:rsidR="000A0CA6">
        <w:t xml:space="preserve"> </w:t>
      </w:r>
      <w:r w:rsidR="007303BA">
        <w:t>them</w:t>
      </w:r>
      <w:r w:rsidR="00082EDD">
        <w:t xml:space="preserve"> </w:t>
      </w:r>
      <w:r w:rsidR="000A0CA6">
        <w:t>to</w:t>
      </w:r>
      <w:r w:rsidR="00333EB6" w:rsidRPr="00390B67">
        <w:t xml:space="preserve"> external</w:t>
      </w:r>
      <w:r>
        <w:t xml:space="preserve"> causes</w:t>
      </w:r>
      <w:r w:rsidR="00333EB6" w:rsidRPr="00390B67">
        <w:t>.</w:t>
      </w:r>
      <w:r w:rsidR="000A0CA6">
        <w:t xml:space="preserve"> </w:t>
      </w:r>
      <w:r w:rsidR="007303BA">
        <w:t>Underlying both</w:t>
      </w:r>
      <w:r w:rsidR="000A0CA6">
        <w:t xml:space="preserve"> </w:t>
      </w:r>
      <w:r w:rsidR="007303BA">
        <w:t xml:space="preserve">views </w:t>
      </w:r>
      <w:r w:rsidR="000A0CA6">
        <w:t>is</w:t>
      </w:r>
      <w:r w:rsidR="007303BA">
        <w:t xml:space="preserve"> </w:t>
      </w:r>
      <w:r w:rsidR="000A0CA6">
        <w:t>the</w:t>
      </w:r>
      <w:r w:rsidR="003F2C85">
        <w:t xml:space="preserve"> assumption</w:t>
      </w:r>
      <w:r w:rsidR="00C42094">
        <w:t xml:space="preserve"> that</w:t>
      </w:r>
      <w:r w:rsidR="003F2C85">
        <w:t xml:space="preserve"> </w:t>
      </w:r>
      <w:r w:rsidR="000A0CA6">
        <w:t>project organization</w:t>
      </w:r>
      <w:r w:rsidR="00082EDD">
        <w:t>s are</w:t>
      </w:r>
      <w:r w:rsidR="000A0CA6">
        <w:t xml:space="preserve"> authority hierarch</w:t>
      </w:r>
      <w:r w:rsidR="003F2C85">
        <w:t xml:space="preserve">ies. </w:t>
      </w:r>
      <w:r w:rsidR="007303BA">
        <w:t>Here,</w:t>
      </w:r>
      <w:r w:rsidR="003F2C85">
        <w:t xml:space="preserve"> we sought to </w:t>
      </w:r>
      <w:r w:rsidR="00915B53">
        <w:t xml:space="preserve">move </w:t>
      </w:r>
      <w:r w:rsidR="003F2C85">
        <w:t>the debate</w:t>
      </w:r>
      <w:r w:rsidR="00915B53">
        <w:t xml:space="preserve"> forward</w:t>
      </w:r>
      <w:r w:rsidR="003F2C85">
        <w:t xml:space="preserve"> by probing deeper into this </w:t>
      </w:r>
      <w:r w:rsidR="00D94063">
        <w:t xml:space="preserve">complex </w:t>
      </w:r>
      <w:r w:rsidR="00C42094">
        <w:t>form of organizing</w:t>
      </w:r>
      <w:r w:rsidR="00713B16">
        <w:t xml:space="preserve"> work</w:t>
      </w:r>
      <w:r w:rsidR="00C42094">
        <w:t xml:space="preserve">. </w:t>
      </w:r>
    </w:p>
    <w:p w14:paraId="45AAC039" w14:textId="5B6D6A95" w:rsidR="005F430C" w:rsidRDefault="002D00FA" w:rsidP="00142268">
      <w:r w:rsidRPr="00671AE1">
        <w:t>B</w:t>
      </w:r>
      <w:r w:rsidR="00795B3F" w:rsidRPr="00671AE1">
        <w:t>y employing Design Structure Matrices (DSM)</w:t>
      </w:r>
      <w:r w:rsidR="00C834DE">
        <w:t xml:space="preserve"> </w:t>
      </w:r>
      <w:r w:rsidR="00E75324" w:rsidRPr="00671AE1">
        <w:t>we</w:t>
      </w:r>
      <w:r w:rsidR="004B453B" w:rsidRPr="00671AE1">
        <w:t xml:space="preserve"> </w:t>
      </w:r>
      <w:r w:rsidR="003F2C85">
        <w:t>establish</w:t>
      </w:r>
      <w:r w:rsidR="00946F19">
        <w:t>ed</w:t>
      </w:r>
      <w:r w:rsidR="00C834DE">
        <w:t xml:space="preserve"> </w:t>
      </w:r>
      <w:r w:rsidR="003F2C85">
        <w:t>th</w:t>
      </w:r>
      <w:r w:rsidR="00FF0EE8">
        <w:t xml:space="preserve">at </w:t>
      </w:r>
      <w:r w:rsidR="003F2C85">
        <w:t>capital-intensive project organization</w:t>
      </w:r>
      <w:r w:rsidR="00FF0EE8">
        <w:t>s have</w:t>
      </w:r>
      <w:r w:rsidR="003F2C85">
        <w:t xml:space="preserve"> a </w:t>
      </w:r>
      <w:r w:rsidR="004B453B" w:rsidRPr="00671AE1">
        <w:t xml:space="preserve">polycentric </w:t>
      </w:r>
      <w:r w:rsidR="003F2C85">
        <w:t>architecture at the planning stage</w:t>
      </w:r>
      <w:r w:rsidR="00C834DE">
        <w:t>—</w:t>
      </w:r>
      <w:r w:rsidR="00FF0EE8">
        <w:t xml:space="preserve">a finding </w:t>
      </w:r>
      <w:r w:rsidR="00C834DE" w:rsidRPr="00671AE1">
        <w:t xml:space="preserve">consistent with predictions of theorists in </w:t>
      </w:r>
      <w:r w:rsidR="00C834DE">
        <w:t xml:space="preserve">consensus-oriented </w:t>
      </w:r>
      <w:r w:rsidR="00C834DE" w:rsidRPr="00671AE1">
        <w:t>collective action</w:t>
      </w:r>
      <w:r w:rsidR="00C834DE">
        <w:t xml:space="preserve"> (</w:t>
      </w:r>
      <w:proofErr w:type="spellStart"/>
      <w:r w:rsidR="00C834DE">
        <w:t>Ostrom</w:t>
      </w:r>
      <w:proofErr w:type="spellEnd"/>
      <w:r w:rsidR="00C834DE">
        <w:t xml:space="preserve"> 1972, </w:t>
      </w:r>
      <w:proofErr w:type="spellStart"/>
      <w:r w:rsidR="00C834DE">
        <w:t>Ostrom</w:t>
      </w:r>
      <w:proofErr w:type="spellEnd"/>
      <w:r w:rsidR="00C834DE">
        <w:t xml:space="preserve"> </w:t>
      </w:r>
      <w:r w:rsidR="00D11C7E">
        <w:t>2010</w:t>
      </w:r>
      <w:r w:rsidR="00C834DE">
        <w:t>). Specifically we show that decision rights</w:t>
      </w:r>
      <w:r w:rsidR="00FF0EE8">
        <w:t xml:space="preserve"> over planning choice </w:t>
      </w:r>
      <w:r w:rsidR="00C834DE">
        <w:t xml:space="preserve">are </w:t>
      </w:r>
      <w:r w:rsidR="006E0188">
        <w:t xml:space="preserve">decentralised </w:t>
      </w:r>
      <w:r w:rsidR="00C834DE">
        <w:t xml:space="preserve">within a </w:t>
      </w:r>
      <w:r w:rsidR="00C834DE" w:rsidRPr="00671AE1">
        <w:t xml:space="preserve">nested structure of </w:t>
      </w:r>
      <w:r w:rsidR="006E0188">
        <w:t xml:space="preserve">local </w:t>
      </w:r>
      <w:r w:rsidR="00C834DE">
        <w:t>groups</w:t>
      </w:r>
      <w:r w:rsidR="006E0188">
        <w:t xml:space="preserve">. </w:t>
      </w:r>
      <w:r w:rsidR="0008348C" w:rsidRPr="0008348C">
        <w:t xml:space="preserve">Decision rights determine </w:t>
      </w:r>
      <w:r w:rsidR="00691A69">
        <w:t>organizational</w:t>
      </w:r>
      <w:r w:rsidR="0008348C" w:rsidRPr="0008348C">
        <w:t xml:space="preserve"> boundaries</w:t>
      </w:r>
      <w:r w:rsidR="0008348C">
        <w:t xml:space="preserve">—as </w:t>
      </w:r>
      <w:proofErr w:type="spellStart"/>
      <w:r w:rsidR="0008348C" w:rsidRPr="0008348C">
        <w:t>Pfeffer</w:t>
      </w:r>
      <w:proofErr w:type="spellEnd"/>
      <w:r w:rsidR="0008348C" w:rsidRPr="0008348C">
        <w:t xml:space="preserve"> and </w:t>
      </w:r>
      <w:proofErr w:type="spellStart"/>
      <w:r w:rsidR="007303BA">
        <w:t>S</w:t>
      </w:r>
      <w:r w:rsidR="0008348C" w:rsidRPr="0008348C">
        <w:t>alancik</w:t>
      </w:r>
      <w:proofErr w:type="spellEnd"/>
      <w:r w:rsidR="0008348C" w:rsidRPr="0008348C">
        <w:t xml:space="preserve"> </w:t>
      </w:r>
      <w:r w:rsidR="0008348C">
        <w:t>(</w:t>
      </w:r>
      <w:r w:rsidR="0008348C" w:rsidRPr="0008348C">
        <w:t>1978: 32</w:t>
      </w:r>
      <w:r w:rsidR="0008348C">
        <w:t>) argue</w:t>
      </w:r>
      <w:r w:rsidR="007303BA">
        <w:t>,</w:t>
      </w:r>
      <w:r w:rsidR="0008348C">
        <w:t xml:space="preserve"> an </w:t>
      </w:r>
      <w:r w:rsidR="007303BA" w:rsidRPr="0008348C">
        <w:t>organization</w:t>
      </w:r>
      <w:r w:rsidR="0008348C" w:rsidRPr="0008348C">
        <w:t xml:space="preserve"> ends where its discretion ends and another’s</w:t>
      </w:r>
      <w:r w:rsidR="0008348C">
        <w:t xml:space="preserve"> begins. </w:t>
      </w:r>
      <w:r w:rsidR="00FF0EE8">
        <w:t>Hence</w:t>
      </w:r>
      <w:r w:rsidR="00CB17A7">
        <w:t>,</w:t>
      </w:r>
      <w:r w:rsidR="006D6129">
        <w:t xml:space="preserve"> </w:t>
      </w:r>
      <w:r w:rsidR="00FF0EE8">
        <w:t>resource-rich</w:t>
      </w:r>
      <w:r w:rsidR="006E0188">
        <w:t xml:space="preserve"> actors</w:t>
      </w:r>
      <w:r w:rsidR="00FF0EE8">
        <w:t xml:space="preserve"> </w:t>
      </w:r>
      <w:r w:rsidR="006E0188">
        <w:t xml:space="preserve">awarded decision rights are </w:t>
      </w:r>
      <w:r w:rsidR="006E0188" w:rsidRPr="008A6FFD">
        <w:rPr>
          <w:i/>
        </w:rPr>
        <w:t>de facto</w:t>
      </w:r>
      <w:r w:rsidR="006E0188">
        <w:t xml:space="preserve"> members of </w:t>
      </w:r>
      <w:r w:rsidR="007F471D">
        <w:t>the project organization</w:t>
      </w:r>
      <w:r w:rsidR="00713B16">
        <w:t xml:space="preserve">; and </w:t>
      </w:r>
      <w:r w:rsidR="006E0188">
        <w:t>yet, these actors</w:t>
      </w:r>
      <w:r w:rsidR="006D6129">
        <w:t xml:space="preserve"> </w:t>
      </w:r>
      <w:r w:rsidR="00CB17A7">
        <w:t>maintain autonomy</w:t>
      </w:r>
      <w:r w:rsidR="006D6129">
        <w:t xml:space="preserve"> from the promoter</w:t>
      </w:r>
      <w:r w:rsidR="006E0188">
        <w:t xml:space="preserve"> until </w:t>
      </w:r>
      <w:r w:rsidR="007303BA">
        <w:t>a</w:t>
      </w:r>
      <w:r w:rsidR="00713B16">
        <w:t xml:space="preserve"> </w:t>
      </w:r>
      <w:r w:rsidR="006E0188">
        <w:t>development agreement</w:t>
      </w:r>
      <w:r w:rsidR="00713B16">
        <w:t xml:space="preserve"> is forged</w:t>
      </w:r>
      <w:r w:rsidR="007F471D">
        <w:t xml:space="preserve">. </w:t>
      </w:r>
      <w:r w:rsidR="00CB17A7">
        <w:t>T</w:t>
      </w:r>
      <w:r w:rsidR="0008348C">
        <w:t>h</w:t>
      </w:r>
      <w:r w:rsidR="00691A69">
        <w:t>is makes the project</w:t>
      </w:r>
      <w:r w:rsidR="007303BA">
        <w:t xml:space="preserve"> </w:t>
      </w:r>
      <w:r w:rsidR="00C834DE">
        <w:t xml:space="preserve">organization </w:t>
      </w:r>
      <w:r w:rsidR="00691A69">
        <w:t xml:space="preserve">pluralistic, but </w:t>
      </w:r>
      <w:r w:rsidR="00C834DE">
        <w:t>not wholly flat</w:t>
      </w:r>
      <w:r w:rsidR="0008348C">
        <w:t>.</w:t>
      </w:r>
      <w:r w:rsidR="00C834DE">
        <w:t xml:space="preserve"> </w:t>
      </w:r>
      <w:r w:rsidR="0008348C">
        <w:t>Our analysis shows</w:t>
      </w:r>
      <w:r w:rsidR="007303BA">
        <w:t xml:space="preserve"> that</w:t>
      </w:r>
      <w:r w:rsidR="0008348C">
        <w:t xml:space="preserve"> the</w:t>
      </w:r>
      <w:r w:rsidR="003F2295">
        <w:t xml:space="preserve"> promoter </w:t>
      </w:r>
      <w:r w:rsidR="00C834DE">
        <w:t>has</w:t>
      </w:r>
      <w:r w:rsidR="003F2295">
        <w:t xml:space="preserve"> </w:t>
      </w:r>
      <w:r w:rsidR="00C834DE">
        <w:t xml:space="preserve">authority to </w:t>
      </w:r>
      <w:r w:rsidR="00691A69">
        <w:t xml:space="preserve">unilaterally </w:t>
      </w:r>
      <w:r w:rsidR="00C834DE">
        <w:t>set performance targets</w:t>
      </w:r>
      <w:r w:rsidR="0008348C">
        <w:t xml:space="preserve"> and constrain the</w:t>
      </w:r>
      <w:r w:rsidR="00C834DE">
        <w:t xml:space="preserve"> solution spaces</w:t>
      </w:r>
      <w:r w:rsidR="00713B16">
        <w:t xml:space="preserve"> at the onset of planning. </w:t>
      </w:r>
      <w:r w:rsidR="005F430C">
        <w:t xml:space="preserve">This </w:t>
      </w:r>
      <w:r w:rsidR="006D6129">
        <w:t>conceptualization</w:t>
      </w:r>
      <w:r w:rsidR="007303BA">
        <w:t xml:space="preserve"> of project organizations</w:t>
      </w:r>
      <w:r w:rsidR="006D6129">
        <w:t xml:space="preserve"> is crucial to further our understanding </w:t>
      </w:r>
      <w:r w:rsidR="007303BA">
        <w:t xml:space="preserve">of their </w:t>
      </w:r>
      <w:r w:rsidR="006D6129">
        <w:t>performance</w:t>
      </w:r>
      <w:r w:rsidR="007303BA">
        <w:t>.</w:t>
      </w:r>
    </w:p>
    <w:p w14:paraId="499BF833" w14:textId="1863CD81" w:rsidR="003C385D" w:rsidRPr="00671AE1" w:rsidRDefault="00CB17A7" w:rsidP="007303BA">
      <w:r>
        <w:lastRenderedPageBreak/>
        <w:t>It is first important to note that a</w:t>
      </w:r>
      <w:r w:rsidR="00142268">
        <w:t xml:space="preserve"> p</w:t>
      </w:r>
      <w:r w:rsidR="00802B76" w:rsidRPr="00671AE1">
        <w:t>olycen</w:t>
      </w:r>
      <w:r w:rsidR="00EB1638" w:rsidRPr="00671AE1">
        <w:t>tric</w:t>
      </w:r>
      <w:r w:rsidR="00142268">
        <w:t xml:space="preserve"> </w:t>
      </w:r>
      <w:r w:rsidR="00761495">
        <w:t>architecture</w:t>
      </w:r>
      <w:r w:rsidR="003C385D">
        <w:t xml:space="preserve"> is advantageous in enabling</w:t>
      </w:r>
      <w:r w:rsidR="00EC7F37" w:rsidRPr="00671AE1">
        <w:t xml:space="preserve"> the promoter to</w:t>
      </w:r>
      <w:r w:rsidR="001B1AF9">
        <w:t xml:space="preserve"> </w:t>
      </w:r>
      <w:r w:rsidR="002E724F">
        <w:t>achieve</w:t>
      </w:r>
      <w:r w:rsidR="001B1AF9">
        <w:t xml:space="preserve"> the system-goal. </w:t>
      </w:r>
      <w:r w:rsidR="002E724F">
        <w:t>I</w:t>
      </w:r>
      <w:r w:rsidR="001B1AF9">
        <w:t xml:space="preserve">f the promoter </w:t>
      </w:r>
      <w:r>
        <w:t>withholds</w:t>
      </w:r>
      <w:r w:rsidR="001B1AF9">
        <w:t xml:space="preserve"> decision rights, the </w:t>
      </w:r>
      <w:r w:rsidR="00C834DE">
        <w:t xml:space="preserve">affected </w:t>
      </w:r>
      <w:r w:rsidR="001B1AF9">
        <w:t xml:space="preserve">actors </w:t>
      </w:r>
      <w:r>
        <w:t xml:space="preserve">are </w:t>
      </w:r>
      <w:r w:rsidR="002E724F">
        <w:t>less willing to</w:t>
      </w:r>
      <w:r w:rsidR="001B1AF9">
        <w:t xml:space="preserve"> volunteer their own resources. </w:t>
      </w:r>
      <w:r w:rsidR="00713B16">
        <w:t xml:space="preserve">Hence, by </w:t>
      </w:r>
      <w:r w:rsidR="007F471D">
        <w:t>co-opting</w:t>
      </w:r>
      <w:r w:rsidR="00B71E52">
        <w:t xml:space="preserve"> local actors and </w:t>
      </w:r>
      <w:r w:rsidR="007F471D">
        <w:t>designing</w:t>
      </w:r>
      <w:r w:rsidR="00B71E52">
        <w:t xml:space="preserve"> a </w:t>
      </w:r>
      <w:r w:rsidR="002E724F">
        <w:t>‘</w:t>
      </w:r>
      <w:r w:rsidR="007F471D">
        <w:t>negotiated</w:t>
      </w:r>
      <w:r w:rsidR="00B71E52">
        <w:t xml:space="preserve"> </w:t>
      </w:r>
      <w:r w:rsidR="007F471D">
        <w:t>environment</w:t>
      </w:r>
      <w:r w:rsidR="002E724F">
        <w:t>’ (</w:t>
      </w:r>
      <w:proofErr w:type="spellStart"/>
      <w:r w:rsidR="002E724F">
        <w:t>Cyert</w:t>
      </w:r>
      <w:proofErr w:type="spellEnd"/>
      <w:r w:rsidR="002E724F">
        <w:t xml:space="preserve"> and March 1963)</w:t>
      </w:r>
      <w:r w:rsidR="00B71E52">
        <w:t xml:space="preserve">, the </w:t>
      </w:r>
      <w:r w:rsidR="007F471D">
        <w:t>promoter</w:t>
      </w:r>
      <w:r w:rsidR="00B71E52">
        <w:t xml:space="preserve"> creat</w:t>
      </w:r>
      <w:r w:rsidR="007F471D">
        <w:t>es</w:t>
      </w:r>
      <w:r w:rsidR="00B71E52">
        <w:t xml:space="preserve"> conditions for the </w:t>
      </w:r>
      <w:r w:rsidR="007F471D">
        <w:t xml:space="preserve">project </w:t>
      </w:r>
      <w:r w:rsidR="00B71E52">
        <w:t>organization to survive</w:t>
      </w:r>
      <w:r w:rsidR="007F471D">
        <w:t>.</w:t>
      </w:r>
      <w:r w:rsidR="00B71E52">
        <w:t xml:space="preserve"> </w:t>
      </w:r>
      <w:r w:rsidR="004C3820">
        <w:t xml:space="preserve">For example, in the Crossrail and HS2 cases, local governments would </w:t>
      </w:r>
      <w:r w:rsidR="002E724F">
        <w:t xml:space="preserve">be </w:t>
      </w:r>
      <w:r w:rsidR="00B553E8">
        <w:t xml:space="preserve">much </w:t>
      </w:r>
      <w:r w:rsidR="002E724F">
        <w:t xml:space="preserve">less likely to </w:t>
      </w:r>
      <w:r w:rsidR="004C3820">
        <w:t>volunteer time</w:t>
      </w:r>
      <w:r w:rsidR="007303BA">
        <w:t>, effort,</w:t>
      </w:r>
      <w:r w:rsidR="004C3820">
        <w:t xml:space="preserve"> and money </w:t>
      </w:r>
      <w:r w:rsidR="007F471D">
        <w:t xml:space="preserve">it they felt </w:t>
      </w:r>
      <w:r w:rsidR="007303BA">
        <w:t xml:space="preserve">the UK government was paying lip service to shared </w:t>
      </w:r>
      <w:r w:rsidR="004C3820">
        <w:t>decision-making.</w:t>
      </w:r>
      <w:r w:rsidR="004C3820" w:rsidRPr="004C3820">
        <w:t xml:space="preserve"> </w:t>
      </w:r>
      <w:r w:rsidR="001B1AF9">
        <w:t xml:space="preserve">Second, a polycentric </w:t>
      </w:r>
      <w:r w:rsidR="00761495">
        <w:t>architecture</w:t>
      </w:r>
      <w:r w:rsidR="001B1AF9">
        <w:t xml:space="preserve"> gives</w:t>
      </w:r>
      <w:r w:rsidR="007F471D">
        <w:t xml:space="preserve"> the promoter</w:t>
      </w:r>
      <w:r w:rsidR="001B1AF9">
        <w:t xml:space="preserve"> authority to set </w:t>
      </w:r>
      <w:r w:rsidR="002E724F">
        <w:t>b</w:t>
      </w:r>
      <w:r w:rsidR="005D428C">
        <w:t xml:space="preserve">udgets and </w:t>
      </w:r>
      <w:r w:rsidR="002E724F">
        <w:t xml:space="preserve">deadlines. These </w:t>
      </w:r>
      <w:r w:rsidR="007303BA">
        <w:t xml:space="preserve">numeric </w:t>
      </w:r>
      <w:r w:rsidR="002E724F">
        <w:t>targets</w:t>
      </w:r>
      <w:r w:rsidR="001B1AF9">
        <w:t xml:space="preserve"> </w:t>
      </w:r>
      <w:r w:rsidR="002E724F">
        <w:t xml:space="preserve">are necessary to </w:t>
      </w:r>
      <w:r w:rsidR="000B241D" w:rsidRPr="00671AE1">
        <w:t>fill the strategic void created</w:t>
      </w:r>
      <w:r w:rsidR="003C385D">
        <w:t xml:space="preserve"> by </w:t>
      </w:r>
      <w:r w:rsidR="002E724F">
        <w:t xml:space="preserve">the </w:t>
      </w:r>
      <w:r w:rsidR="003C385D">
        <w:t>ambiguity</w:t>
      </w:r>
      <w:r w:rsidR="00B553E8">
        <w:t xml:space="preserve"> that is</w:t>
      </w:r>
      <w:r w:rsidR="002E724F">
        <w:t xml:space="preserve"> endemic to</w:t>
      </w:r>
      <w:r w:rsidR="001B1AF9">
        <w:t xml:space="preserve"> pluralistic</w:t>
      </w:r>
      <w:r w:rsidR="00B553E8">
        <w:t xml:space="preserve"> </w:t>
      </w:r>
      <w:r w:rsidR="001B1AF9">
        <w:t>settings</w:t>
      </w:r>
      <w:r w:rsidR="003C385D">
        <w:t xml:space="preserve"> (Denis et al. </w:t>
      </w:r>
      <w:r w:rsidR="00D11C7E">
        <w:t>2001</w:t>
      </w:r>
      <w:proofErr w:type="gramStart"/>
      <w:r w:rsidR="00D11C7E">
        <w:t>,2006</w:t>
      </w:r>
      <w:proofErr w:type="gramEnd"/>
      <w:r w:rsidR="002E724F">
        <w:t>,</w:t>
      </w:r>
      <w:r w:rsidR="00761495" w:rsidRPr="00761495">
        <w:t xml:space="preserve"> </w:t>
      </w:r>
      <w:r w:rsidR="00761495" w:rsidRPr="00671AE1">
        <w:t>Stone</w:t>
      </w:r>
      <w:r w:rsidR="00761495">
        <w:t xml:space="preserve"> and Brush 1996</w:t>
      </w:r>
      <w:r w:rsidR="001B1AF9">
        <w:t xml:space="preserve">). </w:t>
      </w:r>
      <w:r w:rsidR="004C3820" w:rsidRPr="00671AE1">
        <w:t xml:space="preserve">For example, </w:t>
      </w:r>
      <w:r w:rsidR="002E724F">
        <w:t xml:space="preserve">it is hard to conceive how </w:t>
      </w:r>
      <w:r w:rsidR="004C3820" w:rsidRPr="00671AE1">
        <w:t>the Olympics project could forge ahead without a</w:t>
      </w:r>
      <w:r w:rsidR="002E724F">
        <w:t xml:space="preserve"> </w:t>
      </w:r>
      <w:r w:rsidR="00B553E8">
        <w:t xml:space="preserve">commitment on a </w:t>
      </w:r>
      <w:r w:rsidR="002E724F">
        <w:t>preliminary</w:t>
      </w:r>
      <w:r w:rsidR="004C3820" w:rsidRPr="00671AE1">
        <w:t xml:space="preserve"> budget for bidding purposes</w:t>
      </w:r>
      <w:r w:rsidR="004C3820">
        <w:t>.</w:t>
      </w:r>
      <w:r w:rsidR="004C3820" w:rsidRPr="004C3820">
        <w:t xml:space="preserve"> </w:t>
      </w:r>
      <w:r w:rsidR="00AD10BA">
        <w:t>T</w:t>
      </w:r>
      <w:r w:rsidR="001B1AF9">
        <w:t xml:space="preserve">hird, a polycentric </w:t>
      </w:r>
      <w:r w:rsidR="00846C2E">
        <w:t xml:space="preserve">architecture </w:t>
      </w:r>
      <w:r w:rsidR="003C385D" w:rsidRPr="00671AE1">
        <w:t>attenuates management complexity by</w:t>
      </w:r>
      <w:r w:rsidR="007F471D">
        <w:t xml:space="preserve"> leveraging knowledge of the product architecture to</w:t>
      </w:r>
      <w:r w:rsidR="003C385D" w:rsidRPr="00671AE1">
        <w:t xml:space="preserve"> decompos</w:t>
      </w:r>
      <w:r w:rsidR="007F471D">
        <w:t>e</w:t>
      </w:r>
      <w:r w:rsidR="00261B02">
        <w:t xml:space="preserve"> the project organization</w:t>
      </w:r>
      <w:r w:rsidR="00B553E8">
        <w:t>, a finding</w:t>
      </w:r>
      <w:r w:rsidR="00846C2E">
        <w:t xml:space="preserve"> in agreement with design theory</w:t>
      </w:r>
      <w:r w:rsidR="00261B02">
        <w:t xml:space="preserve"> </w:t>
      </w:r>
      <w:r w:rsidR="003C385D" w:rsidRPr="00713B16">
        <w:t>(</w:t>
      </w:r>
      <w:proofErr w:type="spellStart"/>
      <w:r w:rsidR="002B755C" w:rsidRPr="00E100AD">
        <w:t>MacCormack</w:t>
      </w:r>
      <w:proofErr w:type="spellEnd"/>
      <w:r w:rsidR="002B755C" w:rsidRPr="00713B16">
        <w:t xml:space="preserve"> et al</w:t>
      </w:r>
      <w:r w:rsidR="002B755C">
        <w:t xml:space="preserve">. 2012, </w:t>
      </w:r>
      <w:proofErr w:type="spellStart"/>
      <w:r w:rsidR="00846C2E">
        <w:t>Colfer</w:t>
      </w:r>
      <w:proofErr w:type="spellEnd"/>
      <w:r w:rsidR="00846C2E">
        <w:t xml:space="preserve"> and Baldwin </w:t>
      </w:r>
      <w:r w:rsidR="00D11C7E">
        <w:t>2016</w:t>
      </w:r>
      <w:r w:rsidR="003C385D" w:rsidRPr="00671AE1">
        <w:t xml:space="preserve">). </w:t>
      </w:r>
      <w:r w:rsidR="00846C2E">
        <w:t xml:space="preserve">In </w:t>
      </w:r>
      <w:r w:rsidR="00B553E8">
        <w:t>a polycentric</w:t>
      </w:r>
      <w:r w:rsidR="00846C2E">
        <w:t xml:space="preserve"> design,</w:t>
      </w:r>
      <w:r w:rsidR="003C385D" w:rsidRPr="00671AE1">
        <w:t xml:space="preserve"> </w:t>
      </w:r>
      <w:r w:rsidR="003F2295">
        <w:t xml:space="preserve">participation in </w:t>
      </w:r>
      <w:r w:rsidR="003C385D" w:rsidRPr="00671AE1">
        <w:t xml:space="preserve">each inner centre of shared </w:t>
      </w:r>
      <w:r w:rsidR="00261B02">
        <w:t xml:space="preserve">decision-making </w:t>
      </w:r>
      <w:r w:rsidR="003C385D" w:rsidRPr="00671AE1">
        <w:t xml:space="preserve">power </w:t>
      </w:r>
      <w:r w:rsidR="003F2295">
        <w:t>is restricted</w:t>
      </w:r>
      <w:r w:rsidR="00AD10BA">
        <w:t xml:space="preserve"> to</w:t>
      </w:r>
      <w:r w:rsidR="007F471D">
        <w:t xml:space="preserve"> the </w:t>
      </w:r>
      <w:r w:rsidR="007303BA">
        <w:t>actors</w:t>
      </w:r>
      <w:r w:rsidR="00261B02">
        <w:t xml:space="preserve"> directly </w:t>
      </w:r>
      <w:r w:rsidR="00AD10BA">
        <w:t xml:space="preserve">affected by </w:t>
      </w:r>
      <w:r w:rsidR="00B553E8">
        <w:t>a system component</w:t>
      </w:r>
      <w:r w:rsidR="00261B02">
        <w:t xml:space="preserve">. </w:t>
      </w:r>
      <w:r w:rsidR="00B553E8">
        <w:t xml:space="preserve">By aligning </w:t>
      </w:r>
      <w:r w:rsidR="00846C2E">
        <w:t xml:space="preserve">organizational and </w:t>
      </w:r>
      <w:r w:rsidR="00691A69">
        <w:t xml:space="preserve">product </w:t>
      </w:r>
      <w:r w:rsidR="003F2295">
        <w:t>architecture</w:t>
      </w:r>
      <w:r w:rsidR="00B553E8">
        <w:t xml:space="preserve">s, a polycentric </w:t>
      </w:r>
      <w:r w:rsidR="007303BA">
        <w:t xml:space="preserve">design </w:t>
      </w:r>
      <w:r w:rsidR="003F2295">
        <w:t>reduces the size</w:t>
      </w:r>
      <w:r w:rsidR="00261B02">
        <w:t xml:space="preserve"> </w:t>
      </w:r>
      <w:r w:rsidR="00A350D7">
        <w:t xml:space="preserve">and heterogeneity </w:t>
      </w:r>
      <w:r w:rsidR="00261B02">
        <w:t>of the</w:t>
      </w:r>
      <w:r w:rsidR="003F2295">
        <w:t xml:space="preserve"> </w:t>
      </w:r>
      <w:r w:rsidR="00261B02">
        <w:t>local groups,</w:t>
      </w:r>
      <w:r w:rsidR="003F2295">
        <w:t xml:space="preserve"> </w:t>
      </w:r>
      <w:r w:rsidR="00261B02">
        <w:t>attenuat</w:t>
      </w:r>
      <w:r w:rsidR="003F2295">
        <w:t>ing</w:t>
      </w:r>
      <w:r w:rsidR="00261B02">
        <w:t xml:space="preserve"> the complexity of</w:t>
      </w:r>
      <w:r w:rsidR="00AD10BA">
        <w:t xml:space="preserve"> the</w:t>
      </w:r>
      <w:r w:rsidR="00261B02">
        <w:t xml:space="preserve"> local searches for consensual solutions (</w:t>
      </w:r>
      <w:proofErr w:type="spellStart"/>
      <w:r w:rsidR="00AD10BA">
        <w:t>Cemerer</w:t>
      </w:r>
      <w:proofErr w:type="spellEnd"/>
      <w:r w:rsidR="00AD10BA">
        <w:t xml:space="preserve"> and </w:t>
      </w:r>
      <w:proofErr w:type="spellStart"/>
      <w:r w:rsidR="00AD10BA">
        <w:t>Knez</w:t>
      </w:r>
      <w:proofErr w:type="spellEnd"/>
      <w:r w:rsidR="00AD10BA">
        <w:t xml:space="preserve"> 1996</w:t>
      </w:r>
      <w:r w:rsidR="002B755C">
        <w:t>,</w:t>
      </w:r>
      <w:r w:rsidR="00AD10BA">
        <w:t xml:space="preserve"> Heath and </w:t>
      </w:r>
      <w:proofErr w:type="spellStart"/>
      <w:r w:rsidR="00AD10BA">
        <w:t>Staudenmayer</w:t>
      </w:r>
      <w:proofErr w:type="spellEnd"/>
      <w:r w:rsidR="00AD10BA">
        <w:t xml:space="preserve"> 2000)</w:t>
      </w:r>
      <w:r w:rsidR="00261B02">
        <w:t xml:space="preserve">. </w:t>
      </w:r>
      <w:r>
        <w:t>Finally</w:t>
      </w:r>
      <w:r w:rsidR="00AD10BA">
        <w:t xml:space="preserve">, </w:t>
      </w:r>
      <w:r w:rsidR="007F471D">
        <w:t>by negating</w:t>
      </w:r>
      <w:r w:rsidR="00AD10BA">
        <w:t xml:space="preserve"> </w:t>
      </w:r>
      <w:r w:rsidR="003C385D" w:rsidRPr="00671AE1">
        <w:t xml:space="preserve">the potential for promoter dominance </w:t>
      </w:r>
      <w:r w:rsidR="00AD10BA">
        <w:t xml:space="preserve">in local </w:t>
      </w:r>
      <w:r w:rsidR="00761495">
        <w:t>choice</w:t>
      </w:r>
      <w:r w:rsidR="00AD10BA">
        <w:t xml:space="preserve">, </w:t>
      </w:r>
      <w:r w:rsidR="00846C2E">
        <w:t xml:space="preserve">a polycentric </w:t>
      </w:r>
      <w:r w:rsidR="00386686">
        <w:t xml:space="preserve">design </w:t>
      </w:r>
      <w:r w:rsidR="00AD10BA">
        <w:t xml:space="preserve">allows for </w:t>
      </w:r>
      <w:r w:rsidR="003C385D" w:rsidRPr="00671AE1">
        <w:t>ambigu</w:t>
      </w:r>
      <w:r w:rsidR="007F471D">
        <w:t>ous</w:t>
      </w:r>
      <w:r w:rsidR="003C385D" w:rsidRPr="00671AE1">
        <w:t xml:space="preserve"> projections of future resource allocation</w:t>
      </w:r>
      <w:r w:rsidR="00691A69">
        <w:t>. This</w:t>
      </w:r>
      <w:r w:rsidR="004D3E58">
        <w:t xml:space="preserve"> </w:t>
      </w:r>
      <w:r w:rsidR="00691A69">
        <w:t xml:space="preserve">ambiguity </w:t>
      </w:r>
      <w:r w:rsidR="004D3E58">
        <w:t>creat</w:t>
      </w:r>
      <w:r w:rsidR="00691A69">
        <w:t>es</w:t>
      </w:r>
      <w:r w:rsidR="004D3E58">
        <w:t xml:space="preserve"> </w:t>
      </w:r>
      <w:r w:rsidR="003C385D" w:rsidRPr="00671AE1">
        <w:t>space for conflicting goals</w:t>
      </w:r>
      <w:r w:rsidR="00AD10BA">
        <w:t xml:space="preserve"> and</w:t>
      </w:r>
      <w:r w:rsidR="00DD0721">
        <w:t xml:space="preserve"> </w:t>
      </w:r>
      <w:r w:rsidR="00691A69">
        <w:t xml:space="preserve">helps </w:t>
      </w:r>
      <w:r w:rsidR="00AD10BA">
        <w:t>avoid defections of organizational members</w:t>
      </w:r>
      <w:r w:rsidR="003C385D" w:rsidRPr="00671AE1">
        <w:t xml:space="preserve"> (</w:t>
      </w:r>
      <w:proofErr w:type="spellStart"/>
      <w:r w:rsidR="003C385D" w:rsidRPr="003C385D">
        <w:t>Jarzabkowski</w:t>
      </w:r>
      <w:proofErr w:type="spellEnd"/>
      <w:r w:rsidR="003C385D" w:rsidRPr="003C385D">
        <w:t xml:space="preserve"> and</w:t>
      </w:r>
      <w:r w:rsidR="003C385D">
        <w:t xml:space="preserve"> Fenton 2006</w:t>
      </w:r>
      <w:r w:rsidR="003C385D" w:rsidRPr="00671AE1">
        <w:t xml:space="preserve">, Denis et al 2001). </w:t>
      </w:r>
      <w:r w:rsidR="00DD0721">
        <w:t>Indeed, our findings suggest that the</w:t>
      </w:r>
      <w:r w:rsidR="004D3E58">
        <w:t xml:space="preserve"> </w:t>
      </w:r>
      <w:r w:rsidR="0084375B">
        <w:t>announcement</w:t>
      </w:r>
      <w:r w:rsidR="007F471D">
        <w:t xml:space="preserve"> of targets </w:t>
      </w:r>
      <w:r w:rsidR="00DD0721">
        <w:t xml:space="preserve">consistently </w:t>
      </w:r>
      <w:r w:rsidR="004C3820">
        <w:lastRenderedPageBreak/>
        <w:t>enabled</w:t>
      </w:r>
      <w:r w:rsidR="004C3820" w:rsidRPr="00671AE1">
        <w:t xml:space="preserve"> </w:t>
      </w:r>
      <w:r w:rsidR="00DD0721">
        <w:t>the promoter</w:t>
      </w:r>
      <w:r w:rsidR="004D3E58">
        <w:t xml:space="preserve">s </w:t>
      </w:r>
      <w:r w:rsidR="00863A45" w:rsidRPr="00671AE1">
        <w:t xml:space="preserve">to gain momentum </w:t>
      </w:r>
      <w:r w:rsidR="00802B76" w:rsidRPr="00671AE1">
        <w:t xml:space="preserve">to </w:t>
      </w:r>
      <w:r w:rsidR="00DD0721">
        <w:t>forge ahead with</w:t>
      </w:r>
      <w:r w:rsidR="00DD0721" w:rsidRPr="00671AE1">
        <w:t xml:space="preserve"> </w:t>
      </w:r>
      <w:r w:rsidR="00DD0721">
        <w:t>their plans,</w:t>
      </w:r>
      <w:r w:rsidR="004D3E58">
        <w:t xml:space="preserve"> b</w:t>
      </w:r>
      <w:r w:rsidR="00863A45" w:rsidRPr="00671AE1">
        <w:t>ut the</w:t>
      </w:r>
      <w:r w:rsidR="008F131F">
        <w:t xml:space="preserve"> ensuing</w:t>
      </w:r>
      <w:r w:rsidR="00DC3A30">
        <w:t xml:space="preserve"> slippages in </w:t>
      </w:r>
      <w:r w:rsidR="00386686">
        <w:t xml:space="preserve">the </w:t>
      </w:r>
      <w:r w:rsidR="00DC3A30">
        <w:t>targets</w:t>
      </w:r>
      <w:r w:rsidR="008F131F">
        <w:t xml:space="preserve"> </w:t>
      </w:r>
      <w:r w:rsidR="004C3820">
        <w:t>were critical to sustain</w:t>
      </w:r>
      <w:r w:rsidR="00863A45" w:rsidRPr="00671AE1">
        <w:t xml:space="preserve"> support</w:t>
      </w:r>
      <w:r w:rsidR="004C3820">
        <w:t xml:space="preserve"> for the </w:t>
      </w:r>
      <w:r w:rsidR="002B755C">
        <w:t xml:space="preserve">evolving </w:t>
      </w:r>
      <w:r w:rsidR="004C3820">
        <w:t>plans</w:t>
      </w:r>
      <w:r w:rsidR="007F471D">
        <w:t>.</w:t>
      </w:r>
    </w:p>
    <w:p w14:paraId="43CAFD8B" w14:textId="2576C759" w:rsidR="00D47D7D" w:rsidRDefault="00DC3A30" w:rsidP="00D47D7D">
      <w:r>
        <w:t>T</w:t>
      </w:r>
      <w:r w:rsidR="00802B76" w:rsidRPr="00671AE1">
        <w:t>he main disadvantage of</w:t>
      </w:r>
      <w:r w:rsidR="00F8665C" w:rsidRPr="00671AE1">
        <w:t xml:space="preserve"> </w:t>
      </w:r>
      <w:r w:rsidR="004C3820">
        <w:t xml:space="preserve">a </w:t>
      </w:r>
      <w:r w:rsidR="00F8665C" w:rsidRPr="00671AE1">
        <w:t xml:space="preserve">polycentric </w:t>
      </w:r>
      <w:r w:rsidR="003F2295">
        <w:t>architecture</w:t>
      </w:r>
      <w:r w:rsidR="003F2295" w:rsidRPr="00671AE1">
        <w:t xml:space="preserve"> </w:t>
      </w:r>
      <w:r w:rsidR="004D3E58">
        <w:t>lies in</w:t>
      </w:r>
      <w:r w:rsidR="00802B76" w:rsidRPr="00671AE1">
        <w:t xml:space="preserve"> its inadequacy </w:t>
      </w:r>
      <w:r w:rsidR="004D3E58">
        <w:t>for meeting</w:t>
      </w:r>
      <w:r w:rsidR="00F8665C" w:rsidRPr="00671AE1">
        <w:t xml:space="preserve"> normative expectat</w:t>
      </w:r>
      <w:r w:rsidR="006F3E90" w:rsidRPr="00671AE1">
        <w:t>ions</w:t>
      </w:r>
      <w:r w:rsidR="0084375B">
        <w:t xml:space="preserve"> in </w:t>
      </w:r>
      <w:r w:rsidR="006F3E90" w:rsidRPr="00671AE1">
        <w:t>keeping</w:t>
      </w:r>
      <w:r w:rsidR="00F8665C" w:rsidRPr="00671AE1">
        <w:t xml:space="preserve"> the</w:t>
      </w:r>
      <w:r w:rsidR="00802B76" w:rsidRPr="00671AE1">
        <w:t xml:space="preserve"> project</w:t>
      </w:r>
      <w:r w:rsidR="00F8665C" w:rsidRPr="00671AE1">
        <w:t xml:space="preserve"> </w:t>
      </w:r>
      <w:r w:rsidR="00671AE1">
        <w:t>on</w:t>
      </w:r>
      <w:r w:rsidR="00F8665C" w:rsidRPr="00671AE1">
        <w:t xml:space="preserve"> </w:t>
      </w:r>
      <w:r w:rsidR="00671AE1">
        <w:t>target.</w:t>
      </w:r>
      <w:r w:rsidR="00B553E8">
        <w:t xml:space="preserve"> A polycentric </w:t>
      </w:r>
      <w:r w:rsidR="00386686">
        <w:t xml:space="preserve">design </w:t>
      </w:r>
      <w:r w:rsidR="00B553E8">
        <w:t>o</w:t>
      </w:r>
      <w:r w:rsidR="004D3E58">
        <w:t>ffers</w:t>
      </w:r>
      <w:r w:rsidR="00B553E8">
        <w:t xml:space="preserve"> choice to local actors within a constrained solution space. </w:t>
      </w:r>
      <w:r w:rsidR="004D3E58">
        <w:t xml:space="preserve">However, </w:t>
      </w:r>
      <w:r w:rsidR="00B553E8">
        <w:t>b</w:t>
      </w:r>
      <w:r>
        <w:t xml:space="preserve">ecause </w:t>
      </w:r>
      <w:r w:rsidR="000F6DFA" w:rsidRPr="00671AE1">
        <w:t>self-</w:t>
      </w:r>
      <w:r w:rsidR="000F6DFA" w:rsidRPr="00390B67">
        <w:t>interest</w:t>
      </w:r>
      <w:r w:rsidR="000F6DFA">
        <w:t xml:space="preserve"> </w:t>
      </w:r>
      <w:r w:rsidR="000F6DFA" w:rsidRPr="00390B67">
        <w:t>encourage</w:t>
      </w:r>
      <w:r w:rsidR="000F6DFA">
        <w:t>s</w:t>
      </w:r>
      <w:r w:rsidR="000F6DFA" w:rsidRPr="00390B67">
        <w:t xml:space="preserve"> </w:t>
      </w:r>
      <w:r w:rsidR="000F6DFA">
        <w:t>the participants in joint searches</w:t>
      </w:r>
      <w:r w:rsidR="000F6DFA" w:rsidRPr="00390B67">
        <w:t xml:space="preserve"> to try to opti</w:t>
      </w:r>
      <w:r w:rsidR="000F6DFA">
        <w:t xml:space="preserve">mize solutions (Knudsen and </w:t>
      </w:r>
      <w:proofErr w:type="spellStart"/>
      <w:r w:rsidR="000F6DFA">
        <w:t>Levi</w:t>
      </w:r>
      <w:r w:rsidR="000F6DFA" w:rsidRPr="00390B67">
        <w:t>nthal</w:t>
      </w:r>
      <w:proofErr w:type="spellEnd"/>
      <w:r w:rsidR="000F6DFA" w:rsidRPr="00390B67">
        <w:t xml:space="preserve"> 2007)</w:t>
      </w:r>
      <w:r w:rsidR="000F6DFA">
        <w:t xml:space="preserve">, </w:t>
      </w:r>
      <w:r w:rsidR="00D47D7D">
        <w:t xml:space="preserve">local actors </w:t>
      </w:r>
      <w:r w:rsidR="00B553E8">
        <w:t>will</w:t>
      </w:r>
      <w:r>
        <w:t xml:space="preserve"> </w:t>
      </w:r>
      <w:r w:rsidR="00D47D7D">
        <w:t>demand</w:t>
      </w:r>
      <w:r>
        <w:t xml:space="preserve"> </w:t>
      </w:r>
      <w:r w:rsidR="00D47D7D">
        <w:t>concessions</w:t>
      </w:r>
      <w:r w:rsidR="000F6DFA">
        <w:t xml:space="preserve">; as March and Simon </w:t>
      </w:r>
      <w:r w:rsidR="00D47D7D">
        <w:t>(1993 p.</w:t>
      </w:r>
      <w:r w:rsidR="000F6DFA">
        <w:t xml:space="preserve">312) put </w:t>
      </w:r>
      <w:proofErr w:type="gramStart"/>
      <w:r w:rsidR="000F6DFA">
        <w:t>it,</w:t>
      </w:r>
      <w:proofErr w:type="gramEnd"/>
      <w:r w:rsidR="00386686">
        <w:t xml:space="preserve"> </w:t>
      </w:r>
      <w:r w:rsidR="000F6DFA">
        <w:t>‘we create our wants, in part, by experiencing our choices’</w:t>
      </w:r>
      <w:r w:rsidR="00D47D7D">
        <w:t>.</w:t>
      </w:r>
      <w:r w:rsidR="000F6DFA">
        <w:t xml:space="preserve"> </w:t>
      </w:r>
      <w:r w:rsidR="00D47D7D">
        <w:t xml:space="preserve">Planning </w:t>
      </w:r>
      <w:r w:rsidR="004D3E58">
        <w:t>discussions</w:t>
      </w:r>
      <w:r w:rsidR="00D47D7D">
        <w:t xml:space="preserve"> thus put </w:t>
      </w:r>
      <w:r w:rsidR="00D47D7D" w:rsidRPr="00671AE1">
        <w:t>pressure on the</w:t>
      </w:r>
      <w:r w:rsidR="00D47D7D">
        <w:t xml:space="preserve"> promoter to relax the</w:t>
      </w:r>
      <w:r w:rsidR="00D47D7D" w:rsidRPr="00671AE1">
        <w:t xml:space="preserve"> targets</w:t>
      </w:r>
      <w:r w:rsidR="00B553E8">
        <w:t xml:space="preserve">, a pressure exacerbated by the irreversible nature of </w:t>
      </w:r>
      <w:r w:rsidR="00D16FF7" w:rsidRPr="000B241D">
        <w:t>long-lived</w:t>
      </w:r>
      <w:r w:rsidR="00D16FF7">
        <w:t xml:space="preserve"> </w:t>
      </w:r>
      <w:r w:rsidR="00B553E8">
        <w:t>planning choices, which makes it</w:t>
      </w:r>
      <w:r w:rsidR="00B553E8" w:rsidRPr="000B241D">
        <w:t xml:space="preserve"> harder for people to give ground when </w:t>
      </w:r>
      <w:r w:rsidR="00D16FF7">
        <w:t>seeking</w:t>
      </w:r>
      <w:r w:rsidR="00D16FF7" w:rsidRPr="000B241D">
        <w:t xml:space="preserve"> </w:t>
      </w:r>
      <w:r w:rsidR="00B553E8" w:rsidRPr="000B241D">
        <w:t xml:space="preserve">a compromise (Gil and </w:t>
      </w:r>
      <w:r w:rsidR="00B553E8">
        <w:t>Tether 2011</w:t>
      </w:r>
      <w:r w:rsidR="00B553E8" w:rsidRPr="000B241D">
        <w:t>).</w:t>
      </w:r>
      <w:r w:rsidR="00B553E8">
        <w:t xml:space="preserve"> </w:t>
      </w:r>
      <w:r w:rsidR="004D3E58">
        <w:t>Ironically</w:t>
      </w:r>
      <w:r w:rsidR="000F6DFA">
        <w:t xml:space="preserve">, </w:t>
      </w:r>
      <w:r w:rsidR="00B553E8">
        <w:t xml:space="preserve">the promoter </w:t>
      </w:r>
      <w:r w:rsidR="004D3E58">
        <w:t xml:space="preserve">often </w:t>
      </w:r>
      <w:r w:rsidR="00B553E8">
        <w:t xml:space="preserve">lacks autonomy to relax those targets because the targets create interdependency </w:t>
      </w:r>
      <w:r w:rsidR="00386686">
        <w:t>with</w:t>
      </w:r>
      <w:r w:rsidR="00203038">
        <w:t xml:space="preserve"> </w:t>
      </w:r>
      <w:r w:rsidR="00F8665C" w:rsidRPr="00671AE1">
        <w:t xml:space="preserve">the environment. </w:t>
      </w:r>
      <w:r w:rsidR="00D47D7D">
        <w:t xml:space="preserve">In other words, </w:t>
      </w:r>
      <w:r w:rsidR="0084375B">
        <w:t xml:space="preserve">a polycentric </w:t>
      </w:r>
      <w:r w:rsidR="00386686">
        <w:t>design</w:t>
      </w:r>
      <w:r w:rsidR="00386686" w:rsidRPr="00390B67">
        <w:t xml:space="preserve"> </w:t>
      </w:r>
      <w:r w:rsidR="00C871E2" w:rsidRPr="00390B67">
        <w:t>leaves the promoter in a Catch-22: if it govern</w:t>
      </w:r>
      <w:r w:rsidR="00D47D7D">
        <w:t>s</w:t>
      </w:r>
      <w:r w:rsidR="00C871E2" w:rsidRPr="00390B67">
        <w:t xml:space="preserve"> by diktat, it alienates</w:t>
      </w:r>
      <w:r w:rsidR="0084375B">
        <w:t xml:space="preserve"> the</w:t>
      </w:r>
      <w:r w:rsidR="00C871E2" w:rsidRPr="00390B67">
        <w:t xml:space="preserve"> local actors</w:t>
      </w:r>
      <w:r w:rsidR="00C871E2" w:rsidRPr="00300E7D">
        <w:t xml:space="preserve">; if it </w:t>
      </w:r>
      <w:r w:rsidR="006F3E90" w:rsidRPr="00300E7D">
        <w:t>abandons the targets, the project ‘fails’</w:t>
      </w:r>
      <w:r w:rsidR="00F8665C" w:rsidRPr="00300E7D">
        <w:t xml:space="preserve">. </w:t>
      </w:r>
      <w:r w:rsidR="00802B76" w:rsidRPr="00300E7D">
        <w:t>For example, the</w:t>
      </w:r>
      <w:r w:rsidR="006F3E90" w:rsidRPr="00300E7D">
        <w:t xml:space="preserve"> reputation of</w:t>
      </w:r>
      <w:r w:rsidR="00F8665C" w:rsidRPr="00300E7D">
        <w:t xml:space="preserve"> the Olympics project</w:t>
      </w:r>
      <w:r w:rsidR="00EB1638" w:rsidRPr="00300E7D">
        <w:t xml:space="preserve"> was</w:t>
      </w:r>
      <w:r w:rsidR="005917FA">
        <w:t xml:space="preserve"> </w:t>
      </w:r>
      <w:r w:rsidR="00EB1638" w:rsidRPr="00300E7D">
        <w:t>impaired</w:t>
      </w:r>
      <w:r w:rsidR="00F8665C" w:rsidRPr="00300E7D">
        <w:t xml:space="preserve"> </w:t>
      </w:r>
      <w:r w:rsidR="00802B76" w:rsidRPr="00300E7D">
        <w:t>a</w:t>
      </w:r>
      <w:r w:rsidR="00EB1638" w:rsidRPr="00300E7D">
        <w:t xml:space="preserve">fter </w:t>
      </w:r>
      <w:r w:rsidR="00F8665C" w:rsidRPr="00300E7D">
        <w:t xml:space="preserve">the </w:t>
      </w:r>
      <w:r w:rsidR="006F3E90" w:rsidRPr="00300E7D">
        <w:t xml:space="preserve">bid </w:t>
      </w:r>
      <w:r w:rsidR="00F8665C" w:rsidRPr="00300E7D">
        <w:t>budget</w:t>
      </w:r>
      <w:r w:rsidR="00C871E2" w:rsidRPr="00300E7D">
        <w:t xml:space="preserve"> was </w:t>
      </w:r>
      <w:r>
        <w:t>dropped</w:t>
      </w:r>
      <w:r w:rsidR="00EB1638" w:rsidRPr="00300E7D">
        <w:t>; likewise, the HS2 reputation was</w:t>
      </w:r>
      <w:r w:rsidR="00F8665C" w:rsidRPr="00300E7D">
        <w:t xml:space="preserve"> </w:t>
      </w:r>
      <w:r w:rsidR="00985486">
        <w:t>marred</w:t>
      </w:r>
      <w:r w:rsidR="00985486" w:rsidRPr="00300E7D">
        <w:t xml:space="preserve"> </w:t>
      </w:r>
      <w:r w:rsidR="00F8665C" w:rsidRPr="00300E7D">
        <w:t>af</w:t>
      </w:r>
      <w:r w:rsidR="00C871E2" w:rsidRPr="00300E7D">
        <w:t xml:space="preserve">ter </w:t>
      </w:r>
      <w:r w:rsidR="00985486">
        <w:t xml:space="preserve">the promoter </w:t>
      </w:r>
      <w:r w:rsidR="004D3E58">
        <w:t>raised</w:t>
      </w:r>
      <w:r w:rsidR="004D3E58" w:rsidRPr="00300E7D">
        <w:t xml:space="preserve"> </w:t>
      </w:r>
      <w:r w:rsidR="00C871E2" w:rsidRPr="00300E7D">
        <w:t xml:space="preserve">the </w:t>
      </w:r>
      <w:r w:rsidR="00F8665C" w:rsidRPr="00300E7D">
        <w:t>budget</w:t>
      </w:r>
      <w:r w:rsidR="00964A6C">
        <w:t xml:space="preserve"> </w:t>
      </w:r>
      <w:r w:rsidR="004D3E58">
        <w:t>ceiling</w:t>
      </w:r>
      <w:r w:rsidR="00691A69">
        <w:t xml:space="preserve"> to increase the slack</w:t>
      </w:r>
      <w:r w:rsidR="00D47D7D">
        <w:t xml:space="preserve">. </w:t>
      </w:r>
      <w:r w:rsidR="00EB1638" w:rsidRPr="00300E7D">
        <w:t xml:space="preserve">At the </w:t>
      </w:r>
      <w:r w:rsidR="004D3E58">
        <w:t>extreme</w:t>
      </w:r>
      <w:r w:rsidR="00EB1638" w:rsidRPr="00300E7D">
        <w:t xml:space="preserve">, </w:t>
      </w:r>
      <w:r w:rsidR="0084375B">
        <w:t xml:space="preserve">a </w:t>
      </w:r>
      <w:r w:rsidR="00EB1638" w:rsidRPr="00300E7D">
        <w:t>polycentric</w:t>
      </w:r>
      <w:r w:rsidR="0084375B">
        <w:t xml:space="preserve"> </w:t>
      </w:r>
      <w:r w:rsidR="00691A69">
        <w:t>design</w:t>
      </w:r>
      <w:r w:rsidR="00691A69" w:rsidRPr="00300E7D">
        <w:t xml:space="preserve"> </w:t>
      </w:r>
      <w:r w:rsidR="00EB1638" w:rsidRPr="00300E7D">
        <w:t>creates a</w:t>
      </w:r>
      <w:r w:rsidR="00691A69">
        <w:t xml:space="preserve"> </w:t>
      </w:r>
      <w:r w:rsidR="00EB1638" w:rsidRPr="00300E7D">
        <w:t xml:space="preserve">risk of </w:t>
      </w:r>
      <w:r w:rsidR="0084375B">
        <w:t>planning</w:t>
      </w:r>
      <w:r w:rsidR="00386686">
        <w:t xml:space="preserve"> talks</w:t>
      </w:r>
      <w:r w:rsidR="0084375B">
        <w:t xml:space="preserve"> </w:t>
      </w:r>
      <w:r w:rsidR="00EB1638" w:rsidRPr="00300E7D">
        <w:t>unravelling. The history of our cases is telling: two failed attempts to promote Crossrail</w:t>
      </w:r>
      <w:r w:rsidR="00300E7D">
        <w:t xml:space="preserve">, three </w:t>
      </w:r>
      <w:r w:rsidR="00985486">
        <w:t xml:space="preserve">failed attempts </w:t>
      </w:r>
      <w:r w:rsidR="00300E7D">
        <w:t xml:space="preserve">to </w:t>
      </w:r>
      <w:r w:rsidR="00985486">
        <w:t xml:space="preserve">host </w:t>
      </w:r>
      <w:r w:rsidR="00EB1638" w:rsidRPr="00300E7D">
        <w:t>the Olympics; and a</w:t>
      </w:r>
      <w:r w:rsidR="00D47D7D">
        <w:t xml:space="preserve"> Heathrow</w:t>
      </w:r>
      <w:r w:rsidR="00EB1638" w:rsidRPr="00300E7D">
        <w:t xml:space="preserve"> </w:t>
      </w:r>
      <w:r w:rsidR="004D3E58">
        <w:t>A</w:t>
      </w:r>
      <w:r w:rsidR="00EB1638" w:rsidRPr="00300E7D">
        <w:t>irport terminal awaiting replacement for</w:t>
      </w:r>
      <w:r>
        <w:t xml:space="preserve"> </w:t>
      </w:r>
      <w:r w:rsidR="00EB1638" w:rsidRPr="00300E7D">
        <w:t>20 years.</w:t>
      </w:r>
      <w:r w:rsidR="00D47D7D" w:rsidRPr="00D47D7D">
        <w:t xml:space="preserve"> </w:t>
      </w:r>
      <w:r w:rsidR="00D47D7D" w:rsidRPr="00300E7D">
        <w:t xml:space="preserve">This </w:t>
      </w:r>
      <w:r w:rsidR="00D47D7D">
        <w:t>evidence is consistent with agent-based simulation</w:t>
      </w:r>
      <w:r w:rsidR="00D47D7D" w:rsidRPr="00300E7D">
        <w:t>s that show decentralized searches of solutions for interdependent problems can bog down (</w:t>
      </w:r>
      <w:proofErr w:type="spellStart"/>
      <w:r w:rsidR="00D47D7D" w:rsidRPr="00300E7D">
        <w:t>Mihm</w:t>
      </w:r>
      <w:proofErr w:type="spellEnd"/>
      <w:r w:rsidR="00D47D7D" w:rsidRPr="00300E7D">
        <w:t xml:space="preserve"> et al. 2010).</w:t>
      </w:r>
    </w:p>
    <w:p w14:paraId="4DA482C2" w14:textId="5EE5268E" w:rsidR="00672174" w:rsidRDefault="00EB1638" w:rsidP="00D47D7D">
      <w:r w:rsidRPr="00300E7D">
        <w:t xml:space="preserve"> </w:t>
      </w:r>
      <w:r w:rsidR="00DC3A30">
        <w:t xml:space="preserve">The </w:t>
      </w:r>
      <w:r w:rsidR="00A213AC">
        <w:t>consisten</w:t>
      </w:r>
      <w:r w:rsidR="004D3E58">
        <w:t>t existence</w:t>
      </w:r>
      <w:r w:rsidR="00A213AC">
        <w:t xml:space="preserve"> </w:t>
      </w:r>
      <w:r w:rsidR="000134D0">
        <w:t xml:space="preserve">of </w:t>
      </w:r>
      <w:r w:rsidR="00386686">
        <w:t xml:space="preserve">polycentric </w:t>
      </w:r>
      <w:r w:rsidR="000134D0">
        <w:t>architecture</w:t>
      </w:r>
      <w:r w:rsidR="004D3E58">
        <w:t>s</w:t>
      </w:r>
      <w:r w:rsidR="000134D0">
        <w:t xml:space="preserve"> </w:t>
      </w:r>
      <w:r w:rsidR="00A213AC">
        <w:t xml:space="preserve">across </w:t>
      </w:r>
      <w:r w:rsidR="00DC3A30">
        <w:t>our diversified sample</w:t>
      </w:r>
      <w:r w:rsidR="000134D0">
        <w:t xml:space="preserve"> </w:t>
      </w:r>
      <w:r w:rsidR="00DC3A30">
        <w:t>suggests</w:t>
      </w:r>
      <w:r w:rsidR="00D47D7D">
        <w:t xml:space="preserve"> </w:t>
      </w:r>
      <w:r w:rsidR="00A213AC">
        <w:t>capital-intensive projects a</w:t>
      </w:r>
      <w:r w:rsidR="00D47D7D">
        <w:t>re</w:t>
      </w:r>
      <w:r w:rsidR="000134D0">
        <w:t xml:space="preserve"> </w:t>
      </w:r>
      <w:r w:rsidR="00D47D7D">
        <w:t xml:space="preserve">a </w:t>
      </w:r>
      <w:r w:rsidR="00C2099F">
        <w:t>‘population</w:t>
      </w:r>
      <w:r w:rsidR="00A213AC">
        <w:t xml:space="preserve"> of organizations</w:t>
      </w:r>
      <w:r w:rsidR="00C2099F">
        <w:t>’</w:t>
      </w:r>
      <w:r w:rsidR="00386686">
        <w:t xml:space="preserve"> (Hannah and Freeman 1989)</w:t>
      </w:r>
      <w:r w:rsidR="00D47D7D">
        <w:t xml:space="preserve"> that</w:t>
      </w:r>
      <w:r w:rsidR="00A213AC">
        <w:t xml:space="preserve"> sha</w:t>
      </w:r>
      <w:r w:rsidR="00D47D7D">
        <w:t>re</w:t>
      </w:r>
      <w:r w:rsidR="00A213AC">
        <w:t xml:space="preserve"> </w:t>
      </w:r>
      <w:r w:rsidR="00322CB7">
        <w:t>a common design</w:t>
      </w:r>
      <w:r w:rsidR="00C2099F">
        <w:t xml:space="preserve"> </w:t>
      </w:r>
      <w:r w:rsidR="00A213AC">
        <w:t>and</w:t>
      </w:r>
      <w:r w:rsidR="00A213AC" w:rsidRPr="00A213AC">
        <w:t xml:space="preserve"> </w:t>
      </w:r>
      <w:r w:rsidR="00D47D7D" w:rsidRPr="00A213AC">
        <w:t>fac</w:t>
      </w:r>
      <w:r w:rsidR="00D47D7D">
        <w:t>e</w:t>
      </w:r>
      <w:r w:rsidR="00D47D7D" w:rsidRPr="00A213AC">
        <w:t xml:space="preserve"> </w:t>
      </w:r>
      <w:r w:rsidR="00A213AC" w:rsidRPr="00A213AC">
        <w:t>simila</w:t>
      </w:r>
      <w:r w:rsidR="00A213AC">
        <w:t xml:space="preserve">r vulnerabilities. </w:t>
      </w:r>
      <w:r w:rsidR="00DD0721">
        <w:t>But</w:t>
      </w:r>
      <w:r w:rsidR="00A94F48">
        <w:t xml:space="preserve"> our</w:t>
      </w:r>
      <w:r w:rsidR="008F131F">
        <w:t xml:space="preserve"> </w:t>
      </w:r>
      <w:r w:rsidR="008F131F">
        <w:lastRenderedPageBreak/>
        <w:t>analysis</w:t>
      </w:r>
      <w:r w:rsidR="000134D0">
        <w:t xml:space="preserve"> also</w:t>
      </w:r>
      <w:r w:rsidR="008F131F">
        <w:t xml:space="preserve"> </w:t>
      </w:r>
      <w:r w:rsidR="0084375B">
        <w:t xml:space="preserve">suggests </w:t>
      </w:r>
      <w:r w:rsidR="00322CB7">
        <w:t xml:space="preserve">that </w:t>
      </w:r>
      <w:r w:rsidR="0084375B">
        <w:t xml:space="preserve">different contexts create </w:t>
      </w:r>
      <w:r w:rsidR="00C2099F">
        <w:t>fundamentally</w:t>
      </w:r>
      <w:r w:rsidR="00733439">
        <w:t xml:space="preserve"> </w:t>
      </w:r>
      <w:r w:rsidR="0084375B">
        <w:t>different managerial problems</w:t>
      </w:r>
      <w:r w:rsidR="00386686">
        <w:t xml:space="preserve"> within this form of organizing</w:t>
      </w:r>
      <w:r w:rsidR="00322CB7">
        <w:t>; these divergent contexts</w:t>
      </w:r>
      <w:r w:rsidR="00C2099F">
        <w:t xml:space="preserve"> </w:t>
      </w:r>
      <w:r w:rsidR="00733439">
        <w:t xml:space="preserve">invalidate </w:t>
      </w:r>
      <w:r w:rsidR="00A213AC">
        <w:t>indiscriminate comparisons.</w:t>
      </w:r>
      <w:r w:rsidR="0084375B">
        <w:t xml:space="preserve"> </w:t>
      </w:r>
      <w:r w:rsidR="00C871E2" w:rsidRPr="00300E7D">
        <w:t>We discuss next</w:t>
      </w:r>
      <w:r w:rsidR="00F07429" w:rsidRPr="00300E7D">
        <w:t xml:space="preserve"> </w:t>
      </w:r>
      <w:r w:rsidR="00386686">
        <w:t>a</w:t>
      </w:r>
      <w:r w:rsidR="00386686" w:rsidRPr="00300E7D">
        <w:t xml:space="preserve"> </w:t>
      </w:r>
      <w:r w:rsidR="00A213AC">
        <w:t>framework</w:t>
      </w:r>
      <w:r w:rsidR="00A213AC" w:rsidRPr="00300E7D">
        <w:t xml:space="preserve"> </w:t>
      </w:r>
      <w:r w:rsidR="00A213AC">
        <w:t xml:space="preserve">that establishes logic between organization design and </w:t>
      </w:r>
      <w:r w:rsidR="00F07429" w:rsidRPr="00300E7D">
        <w:t>performance</w:t>
      </w:r>
      <w:r w:rsidR="00672174">
        <w:t xml:space="preserve"> contingent on contextual structures</w:t>
      </w:r>
      <w:r w:rsidR="000134D0">
        <w:t>.</w:t>
      </w:r>
    </w:p>
    <w:p w14:paraId="45AD749F" w14:textId="6F625608" w:rsidR="00F07429" w:rsidRPr="00E1571F" w:rsidRDefault="00DC3A30" w:rsidP="00665133">
      <w:pPr>
        <w:ind w:firstLine="0"/>
        <w:rPr>
          <w:i/>
        </w:rPr>
      </w:pPr>
      <w:r w:rsidRPr="00A229B2">
        <w:rPr>
          <w:i/>
        </w:rPr>
        <w:t>A F</w:t>
      </w:r>
      <w:r w:rsidR="00A213AC" w:rsidRPr="00806AAF">
        <w:rPr>
          <w:i/>
        </w:rPr>
        <w:t>ramework</w:t>
      </w:r>
      <w:r w:rsidR="00A213AC" w:rsidRPr="00E1571F">
        <w:rPr>
          <w:i/>
        </w:rPr>
        <w:t xml:space="preserve"> </w:t>
      </w:r>
      <w:r w:rsidR="00F07429" w:rsidRPr="00E1571F">
        <w:rPr>
          <w:i/>
        </w:rPr>
        <w:t xml:space="preserve">of </w:t>
      </w:r>
      <w:r w:rsidR="003D5E42">
        <w:rPr>
          <w:i/>
        </w:rPr>
        <w:t>Capital-intensive Project</w:t>
      </w:r>
      <w:r w:rsidR="00F07429" w:rsidRPr="00E1571F">
        <w:rPr>
          <w:i/>
        </w:rPr>
        <w:t xml:space="preserve"> </w:t>
      </w:r>
      <w:r w:rsidR="00733439">
        <w:rPr>
          <w:i/>
        </w:rPr>
        <w:t>Organization</w:t>
      </w:r>
      <w:r>
        <w:rPr>
          <w:i/>
        </w:rPr>
        <w:t xml:space="preserve"> and Performance</w:t>
      </w:r>
      <w:r w:rsidR="00733439">
        <w:rPr>
          <w:i/>
        </w:rPr>
        <w:t xml:space="preserve"> </w:t>
      </w:r>
    </w:p>
    <w:p w14:paraId="5A590D1D" w14:textId="58CA722E" w:rsidR="0064792E" w:rsidRDefault="00C33DD8" w:rsidP="00934034">
      <w:r w:rsidRPr="00300E7D">
        <w:t>Our</w:t>
      </w:r>
      <w:r w:rsidR="00ED52A1" w:rsidRPr="00300E7D">
        <w:t xml:space="preserve"> </w:t>
      </w:r>
      <w:r w:rsidR="00806AAF">
        <w:t xml:space="preserve">analysis </w:t>
      </w:r>
      <w:r w:rsidR="00936077">
        <w:t>reveals</w:t>
      </w:r>
      <w:r w:rsidR="00037545" w:rsidRPr="00300E7D">
        <w:t xml:space="preserve"> </w:t>
      </w:r>
      <w:r w:rsidR="00531800" w:rsidRPr="00300E7D">
        <w:t>substanti</w:t>
      </w:r>
      <w:r w:rsidR="00936077">
        <w:t>ve difference</w:t>
      </w:r>
      <w:r w:rsidR="00531800" w:rsidRPr="00300E7D">
        <w:t xml:space="preserve"> in</w:t>
      </w:r>
      <w:r w:rsidR="00037545" w:rsidRPr="00300E7D">
        <w:t xml:space="preserve"> </w:t>
      </w:r>
      <w:r w:rsidR="000134D0">
        <w:t xml:space="preserve">two key </w:t>
      </w:r>
      <w:r w:rsidR="00934034">
        <w:t>administrative structures</w:t>
      </w:r>
      <w:r w:rsidR="00F76139">
        <w:t xml:space="preserve"> </w:t>
      </w:r>
      <w:r w:rsidR="000134D0">
        <w:t xml:space="preserve">deployed to </w:t>
      </w:r>
      <w:r w:rsidR="00D16FF7">
        <w:t xml:space="preserve">resolve </w:t>
      </w:r>
      <w:r w:rsidR="00936077">
        <w:t xml:space="preserve">the </w:t>
      </w:r>
      <w:r w:rsidR="00D16FF7">
        <w:t xml:space="preserve">local </w:t>
      </w:r>
      <w:r w:rsidR="00806AAF">
        <w:t>dispute</w:t>
      </w:r>
      <w:r w:rsidR="000134D0">
        <w:t>s</w:t>
      </w:r>
      <w:r w:rsidR="00936077">
        <w:t xml:space="preserve"> endemic to polycentric architectures</w:t>
      </w:r>
      <w:r w:rsidR="00934034">
        <w:t>.</w:t>
      </w:r>
      <w:r w:rsidR="00037545" w:rsidRPr="00300E7D">
        <w:t xml:space="preserve"> </w:t>
      </w:r>
      <w:r w:rsidR="00006C76" w:rsidRPr="00300E7D">
        <w:t>Alternative permutations</w:t>
      </w:r>
      <w:r w:rsidR="0064792E" w:rsidRPr="00300E7D">
        <w:t xml:space="preserve"> </w:t>
      </w:r>
      <w:r w:rsidR="00006C76" w:rsidRPr="00300E7D">
        <w:t>inform</w:t>
      </w:r>
      <w:r w:rsidR="0064792E" w:rsidRPr="00300E7D">
        <w:t xml:space="preserve"> a contingency </w:t>
      </w:r>
      <w:r w:rsidR="00934034">
        <w:t>framework</w:t>
      </w:r>
      <w:r w:rsidR="00934034" w:rsidRPr="00300E7D">
        <w:t xml:space="preserve"> </w:t>
      </w:r>
      <w:r w:rsidR="00934034">
        <w:t>linking organization design to</w:t>
      </w:r>
      <w:r w:rsidR="0064792E" w:rsidRPr="00300E7D">
        <w:t xml:space="preserve"> performance. </w:t>
      </w:r>
      <w:r w:rsidR="00F76139" w:rsidRPr="00300E7D">
        <w:t xml:space="preserve">Figure 3 illustrates </w:t>
      </w:r>
      <w:r w:rsidR="00F76139">
        <w:t>our</w:t>
      </w:r>
      <w:r w:rsidR="00F76139" w:rsidRPr="00300E7D">
        <w:t xml:space="preserve"> main </w:t>
      </w:r>
      <w:r w:rsidR="00934034">
        <w:t>contentions</w:t>
      </w:r>
      <w:r w:rsidR="00F76139" w:rsidRPr="00300E7D">
        <w:t xml:space="preserve">. </w:t>
      </w:r>
      <w:r w:rsidR="0064792E" w:rsidRPr="00300E7D">
        <w:t>On the horizontal axis, we differentiate</w:t>
      </w:r>
      <w:r w:rsidR="00006C76" w:rsidRPr="00300E7D">
        <w:t xml:space="preserve"> </w:t>
      </w:r>
      <w:r w:rsidR="00934034">
        <w:t>contexts</w:t>
      </w:r>
      <w:r w:rsidR="0064792E" w:rsidRPr="00300E7D">
        <w:t xml:space="preserve"> with</w:t>
      </w:r>
      <w:r w:rsidR="00006C76" w:rsidRPr="00300E7D">
        <w:t>/without</w:t>
      </w:r>
      <w:r w:rsidR="0064792E" w:rsidRPr="00300E7D">
        <w:t xml:space="preserve"> </w:t>
      </w:r>
      <w:r w:rsidR="00BF0A4A">
        <w:t xml:space="preserve">external </w:t>
      </w:r>
      <w:r w:rsidR="0064792E" w:rsidRPr="00300E7D">
        <w:t>umpiring</w:t>
      </w:r>
      <w:r w:rsidR="00300E7D">
        <w:t>.</w:t>
      </w:r>
      <w:r w:rsidR="0064792E" w:rsidRPr="00300E7D">
        <w:t xml:space="preserve"> On the vertical axis, we </w:t>
      </w:r>
      <w:r w:rsidR="00006C76" w:rsidRPr="00300E7D">
        <w:t xml:space="preserve">show </w:t>
      </w:r>
      <w:r w:rsidR="00BA12B6">
        <w:t>internal</w:t>
      </w:r>
      <w:r w:rsidR="00BA12B6" w:rsidRPr="00300E7D">
        <w:t xml:space="preserve"> </w:t>
      </w:r>
      <w:r w:rsidR="0064792E" w:rsidRPr="00300E7D">
        <w:t xml:space="preserve">availability of slack; whilst </w:t>
      </w:r>
      <w:r w:rsidR="00006C76" w:rsidRPr="00300E7D">
        <w:t>slack is</w:t>
      </w:r>
      <w:r w:rsidR="0064792E" w:rsidRPr="00300E7D">
        <w:t xml:space="preserve"> a continu</w:t>
      </w:r>
      <w:r w:rsidR="00F76139">
        <w:t>ous</w:t>
      </w:r>
      <w:r w:rsidR="0064792E" w:rsidRPr="00300E7D">
        <w:t xml:space="preserve"> dimension, for the sake of the argument</w:t>
      </w:r>
      <w:r w:rsidR="0004185A">
        <w:t xml:space="preserve"> </w:t>
      </w:r>
      <w:r w:rsidR="0064792E" w:rsidRPr="00300E7D">
        <w:t>we as</w:t>
      </w:r>
      <w:r w:rsidR="00006C76" w:rsidRPr="00300E7D">
        <w:t xml:space="preserve">sess </w:t>
      </w:r>
      <w:r w:rsidR="00F76139">
        <w:t>its</w:t>
      </w:r>
      <w:r w:rsidR="00F76139" w:rsidRPr="00300E7D">
        <w:t xml:space="preserve"> </w:t>
      </w:r>
      <w:r w:rsidR="00006C76" w:rsidRPr="00300E7D">
        <w:t>availability</w:t>
      </w:r>
      <w:r w:rsidR="00936077">
        <w:t xml:space="preserve"> categorically</w:t>
      </w:r>
      <w:r w:rsidR="00006C76" w:rsidRPr="00300E7D">
        <w:t xml:space="preserve"> </w:t>
      </w:r>
      <w:r w:rsidR="0064792E" w:rsidRPr="00300E7D">
        <w:t>as either “limited” or “substantial.”</w:t>
      </w:r>
      <w:r w:rsidR="00006C76" w:rsidRPr="00300E7D">
        <w:t xml:space="preserve"> </w:t>
      </w:r>
    </w:p>
    <w:p w14:paraId="598F2E45" w14:textId="1704DAC6" w:rsidR="00CD3106" w:rsidRPr="00CD3106" w:rsidRDefault="00CD3106" w:rsidP="00CD3106">
      <w:pPr>
        <w:jc w:val="center"/>
        <w:rPr>
          <w:i/>
        </w:rPr>
      </w:pPr>
      <w:r w:rsidRPr="00CD3106">
        <w:rPr>
          <w:i/>
        </w:rPr>
        <w:t>&lt;</w:t>
      </w:r>
      <w:r w:rsidR="0004185A" w:rsidRPr="00CD3106">
        <w:rPr>
          <w:i/>
        </w:rPr>
        <w:t>Insert</w:t>
      </w:r>
      <w:r w:rsidRPr="00CD3106">
        <w:rPr>
          <w:i/>
        </w:rPr>
        <w:t xml:space="preserve"> Figure 3 about here&gt;</w:t>
      </w:r>
    </w:p>
    <w:p w14:paraId="4333553F" w14:textId="03AC55FA" w:rsidR="009106F0" w:rsidRPr="004E2C6A" w:rsidRDefault="001622E1" w:rsidP="004E2C6A">
      <w:pPr>
        <w:ind w:firstLine="0"/>
        <w:rPr>
          <w:i/>
        </w:rPr>
      </w:pPr>
      <w:r>
        <w:rPr>
          <w:i/>
        </w:rPr>
        <w:t xml:space="preserve">Understanding the Role of </w:t>
      </w:r>
      <w:r w:rsidR="009106F0" w:rsidRPr="004E2C6A">
        <w:rPr>
          <w:i/>
        </w:rPr>
        <w:t xml:space="preserve">Umpiring </w:t>
      </w:r>
    </w:p>
    <w:p w14:paraId="2A1A4FE5" w14:textId="154C9D58" w:rsidR="001622E1" w:rsidRDefault="001622E1" w:rsidP="001622E1">
      <w:r>
        <w:t xml:space="preserve">The umpire </w:t>
      </w:r>
      <w:r w:rsidR="00691A69">
        <w:t xml:space="preserve">is </w:t>
      </w:r>
      <w:r>
        <w:t>a</w:t>
      </w:r>
      <w:r w:rsidR="000134D0">
        <w:t xml:space="preserve"> </w:t>
      </w:r>
      <w:r w:rsidR="00936077">
        <w:t xml:space="preserve">structure </w:t>
      </w:r>
      <w:r w:rsidR="00BA12B6">
        <w:t xml:space="preserve">external to the project </w:t>
      </w:r>
      <w:r w:rsidR="00936077">
        <w:t>organization, and institutionalised</w:t>
      </w:r>
      <w:r w:rsidR="00691A69">
        <w:t xml:space="preserve"> in the environment</w:t>
      </w:r>
      <w:r w:rsidR="00936077">
        <w:t xml:space="preserve"> </w:t>
      </w:r>
      <w:r w:rsidR="00BA12B6">
        <w:t>for</w:t>
      </w:r>
      <w:r>
        <w:t xml:space="preserve"> giving authoritative judgement</w:t>
      </w:r>
      <w:r w:rsidR="000134D0">
        <w:t xml:space="preserve"> over disputes</w:t>
      </w:r>
      <w:r w:rsidR="00BA12B6">
        <w:t xml:space="preserve"> </w:t>
      </w:r>
      <w:r w:rsidR="000134D0">
        <w:t>internal to the project</w:t>
      </w:r>
      <w:r>
        <w:t>. In other words, the umpire acts as a safeguard against the risk of self-interested actors failing to achieve a common interest (Olson 1965)</w:t>
      </w:r>
      <w:r w:rsidRPr="00300E7D">
        <w:t>.</w:t>
      </w:r>
      <w:r>
        <w:t xml:space="preserve"> </w:t>
      </w:r>
      <w:r w:rsidR="00D16FF7">
        <w:t>Importantly</w:t>
      </w:r>
      <w:r>
        <w:t>, the umpire is different from</w:t>
      </w:r>
      <w:r w:rsidR="000134D0">
        <w:t xml:space="preserve"> </w:t>
      </w:r>
      <w:r w:rsidR="00BA12B6">
        <w:t xml:space="preserve">private </w:t>
      </w:r>
      <w:r>
        <w:t xml:space="preserve">arbitration (Heine and </w:t>
      </w:r>
      <w:proofErr w:type="spellStart"/>
      <w:r>
        <w:t>Kerk</w:t>
      </w:r>
      <w:proofErr w:type="spellEnd"/>
      <w:r>
        <w:t xml:space="preserve"> 2017). Private arbitrators are members</w:t>
      </w:r>
      <w:r w:rsidR="00D57D8C">
        <w:t xml:space="preserve"> of the organization</w:t>
      </w:r>
      <w:r>
        <w:t xml:space="preserve"> tasked to leverage their latitude in decision making and observability power to reward disputants with a greater share of the surplus of the join</w:t>
      </w:r>
      <w:r w:rsidR="00C33A66">
        <w:t>ed</w:t>
      </w:r>
      <w:r>
        <w:t xml:space="preserve"> activity (</w:t>
      </w:r>
      <w:proofErr w:type="spellStart"/>
      <w:r>
        <w:t>Lumineau</w:t>
      </w:r>
      <w:proofErr w:type="spellEnd"/>
      <w:r>
        <w:t xml:space="preserve"> and Oxley 2012). As such, private arbitrators are third party to the dispute</w:t>
      </w:r>
      <w:r w:rsidR="00D57D8C">
        <w:t>,</w:t>
      </w:r>
      <w:r>
        <w:t xml:space="preserve"> but not third party to the organization. In contrast, umpires are similar to a public court </w:t>
      </w:r>
      <w:r w:rsidR="00BA12B6">
        <w:t>and thus</w:t>
      </w:r>
      <w:r>
        <w:t xml:space="preserve"> operate under strict procedural rules </w:t>
      </w:r>
      <w:r w:rsidR="00C33A66">
        <w:t xml:space="preserve">but </w:t>
      </w:r>
      <w:r>
        <w:t xml:space="preserve">lack expert knowledge. </w:t>
      </w:r>
    </w:p>
    <w:p w14:paraId="69E0EE0B" w14:textId="37CEBD02" w:rsidR="00A25CB6" w:rsidRDefault="0064792E" w:rsidP="00974F02">
      <w:r w:rsidRPr="00300E7D">
        <w:lastRenderedPageBreak/>
        <w:t xml:space="preserve">The main benefit </w:t>
      </w:r>
      <w:r w:rsidR="00BA12B6">
        <w:t xml:space="preserve">of an umpire </w:t>
      </w:r>
      <w:r w:rsidRPr="00300E7D">
        <w:t xml:space="preserve">is </w:t>
      </w:r>
      <w:r w:rsidR="008D7E4B">
        <w:t>to avoid hold-ups by individual parties</w:t>
      </w:r>
      <w:r w:rsidR="00707525">
        <w:t>.</w:t>
      </w:r>
      <w:r w:rsidR="00707525" w:rsidRPr="00707525">
        <w:t xml:space="preserve"> </w:t>
      </w:r>
      <w:r w:rsidR="00672174">
        <w:t xml:space="preserve">This referee </w:t>
      </w:r>
      <w:r w:rsidR="008D7E4B">
        <w:t>cannot be co-opted</w:t>
      </w:r>
      <w:r w:rsidR="00672174">
        <w:t>,</w:t>
      </w:r>
      <w:r w:rsidR="00CF703E">
        <w:t xml:space="preserve"> </w:t>
      </w:r>
      <w:r w:rsidR="00C2099F">
        <w:t>has no property rights</w:t>
      </w:r>
      <w:r w:rsidR="00CF703E">
        <w:t>,</w:t>
      </w:r>
      <w:r w:rsidR="00672174" w:rsidRPr="00300E7D">
        <w:t xml:space="preserve"> </w:t>
      </w:r>
      <w:r w:rsidR="00672174">
        <w:t>and</w:t>
      </w:r>
      <w:r w:rsidR="00CF703E">
        <w:t xml:space="preserve"> is</w:t>
      </w:r>
      <w:r w:rsidR="00672174">
        <w:t xml:space="preserve"> impartial. </w:t>
      </w:r>
      <w:r w:rsidR="00821389">
        <w:t xml:space="preserve">This dispute resolution structure </w:t>
      </w:r>
      <w:r w:rsidR="00F028A4">
        <w:t xml:space="preserve">is </w:t>
      </w:r>
      <w:r w:rsidR="009106F0">
        <w:t>arguably</w:t>
      </w:r>
      <w:r w:rsidR="000F61BA">
        <w:t xml:space="preserve"> more efficient than</w:t>
      </w:r>
      <w:r w:rsidR="00C2099F">
        <w:t xml:space="preserve"> a public</w:t>
      </w:r>
      <w:r w:rsidR="000F61BA">
        <w:t xml:space="preserve"> court</w:t>
      </w:r>
      <w:r w:rsidR="00D57D8C">
        <w:t>, and successfully prevent</w:t>
      </w:r>
      <w:r w:rsidR="00BA12B6">
        <w:t>ed</w:t>
      </w:r>
      <w:r w:rsidR="00D57D8C">
        <w:t xml:space="preserve"> </w:t>
      </w:r>
      <w:r w:rsidR="006C14C5">
        <w:t xml:space="preserve">local </w:t>
      </w:r>
      <w:r w:rsidR="00D57D8C">
        <w:t>disputes</w:t>
      </w:r>
      <w:r w:rsidR="00F028A4">
        <w:t xml:space="preserve"> </w:t>
      </w:r>
      <w:r w:rsidR="00AA3014">
        <w:t xml:space="preserve">from </w:t>
      </w:r>
      <w:r w:rsidR="00D57D8C">
        <w:t>evolv</w:t>
      </w:r>
      <w:r w:rsidR="00AA3014">
        <w:t>ing</w:t>
      </w:r>
      <w:r w:rsidR="00D57D8C">
        <w:t xml:space="preserve"> into legal action</w:t>
      </w:r>
      <w:r w:rsidR="006C14C5" w:rsidRPr="006C14C5">
        <w:t xml:space="preserve"> </w:t>
      </w:r>
      <w:r w:rsidR="006C14C5">
        <w:t>in the Crossrail and HS2 cases</w:t>
      </w:r>
      <w:r w:rsidR="00D57D8C">
        <w:t xml:space="preserve">. </w:t>
      </w:r>
      <w:r w:rsidR="00AA3014">
        <w:t>However, because</w:t>
      </w:r>
      <w:r w:rsidR="000F61BA">
        <w:t xml:space="preserve"> the</w:t>
      </w:r>
      <w:r w:rsidR="009106F0">
        <w:t xml:space="preserve"> </w:t>
      </w:r>
      <w:r w:rsidR="000F61BA">
        <w:t>lawmakers lacked knowledge</w:t>
      </w:r>
      <w:r w:rsidR="006C14C5">
        <w:t xml:space="preserve"> and time</w:t>
      </w:r>
      <w:r w:rsidR="00AA3014">
        <w:t xml:space="preserve">, they </w:t>
      </w:r>
      <w:r w:rsidR="006C14C5">
        <w:t xml:space="preserve">took years to </w:t>
      </w:r>
      <w:r w:rsidR="000F61BA">
        <w:t>assimilate</w:t>
      </w:r>
      <w:r w:rsidR="000F61BA" w:rsidRPr="00300E7D">
        <w:t xml:space="preserve"> </w:t>
      </w:r>
      <w:r w:rsidR="000F61BA">
        <w:t>the arguments.</w:t>
      </w:r>
      <w:r w:rsidR="000D3388">
        <w:t xml:space="preserve"> </w:t>
      </w:r>
      <w:r w:rsidR="009106F0">
        <w:t xml:space="preserve">Notwithstanding </w:t>
      </w:r>
      <w:r w:rsidR="00F028A4">
        <w:t xml:space="preserve">the risk of </w:t>
      </w:r>
      <w:r w:rsidR="006C14C5">
        <w:t>overruns</w:t>
      </w:r>
      <w:r w:rsidR="009106F0">
        <w:t>, the</w:t>
      </w:r>
      <w:r w:rsidR="00F028A4">
        <w:t xml:space="preserve"> </w:t>
      </w:r>
      <w:r w:rsidR="009106F0">
        <w:t>disputants</w:t>
      </w:r>
      <w:r w:rsidR="006C14C5">
        <w:t xml:space="preserve"> (who rarely opposed the system goal) </w:t>
      </w:r>
      <w:r w:rsidR="009106F0">
        <w:t>systematically</w:t>
      </w:r>
      <w:r w:rsidR="008D7E4B">
        <w:t xml:space="preserve"> deferred</w:t>
      </w:r>
      <w:r w:rsidR="006C14C5">
        <w:t xml:space="preserve"> the disputes</w:t>
      </w:r>
      <w:r w:rsidR="008D7E4B">
        <w:t xml:space="preserve"> to the umpire</w:t>
      </w:r>
      <w:r w:rsidR="00CB3BF2">
        <w:t xml:space="preserve">, </w:t>
      </w:r>
      <w:r w:rsidR="008D7E4B">
        <w:t>creating a major source of uncertainty</w:t>
      </w:r>
      <w:r w:rsidR="00821389">
        <w:t>.</w:t>
      </w:r>
      <w:r w:rsidR="008D7E4B">
        <w:t xml:space="preserve"> </w:t>
      </w:r>
      <w:r w:rsidR="00821389">
        <w:t>Hence</w:t>
      </w:r>
      <w:r w:rsidR="00AA3014">
        <w:t>,</w:t>
      </w:r>
      <w:r w:rsidR="000D3388">
        <w:t xml:space="preserve"> the presence of an</w:t>
      </w:r>
      <w:r w:rsidR="00F028A4">
        <w:t xml:space="preserve"> </w:t>
      </w:r>
      <w:r w:rsidR="000D3388">
        <w:t>umpire create</w:t>
      </w:r>
      <w:r w:rsidR="006C14C5">
        <w:t>s</w:t>
      </w:r>
      <w:r w:rsidR="00821389">
        <w:t xml:space="preserve"> </w:t>
      </w:r>
      <w:r w:rsidR="000D3388" w:rsidRPr="00300E7D">
        <w:t xml:space="preserve">a negative precondition for </w:t>
      </w:r>
      <w:r w:rsidR="000D3388">
        <w:t xml:space="preserve">the </w:t>
      </w:r>
      <w:r w:rsidR="006C14C5">
        <w:t xml:space="preserve">interacting </w:t>
      </w:r>
      <w:r w:rsidR="000D3388" w:rsidRPr="00300E7D">
        <w:t>parties to cooperate</w:t>
      </w:r>
      <w:r w:rsidR="000D3388">
        <w:t xml:space="preserve">, an insight in agreement with collection action literature </w:t>
      </w:r>
      <w:r w:rsidR="000D3388" w:rsidRPr="00300E7D">
        <w:t>(</w:t>
      </w:r>
      <w:r w:rsidR="000D3388">
        <w:t xml:space="preserve">Frey 1994, </w:t>
      </w:r>
      <w:proofErr w:type="spellStart"/>
      <w:r w:rsidR="000D3388">
        <w:t>Ostrom</w:t>
      </w:r>
      <w:proofErr w:type="spellEnd"/>
      <w:r w:rsidR="000D3388">
        <w:t xml:space="preserve"> 1990).</w:t>
      </w:r>
      <w:r w:rsidR="00D57D8C">
        <w:t xml:space="preserve"> The late intervention of the umpire </w:t>
      </w:r>
      <w:r w:rsidR="00BA12B6">
        <w:t>also</w:t>
      </w:r>
      <w:r w:rsidR="00D57D8C">
        <w:t xml:space="preserve"> </w:t>
      </w:r>
      <w:r w:rsidR="006C14C5">
        <w:t xml:space="preserve">repeatedly </w:t>
      </w:r>
      <w:r w:rsidR="00D57D8C">
        <w:t xml:space="preserve">led to </w:t>
      </w:r>
      <w:r w:rsidR="000D3388">
        <w:t xml:space="preserve">significant </w:t>
      </w:r>
      <w:r w:rsidR="008C0A55">
        <w:t xml:space="preserve">cost </w:t>
      </w:r>
      <w:r w:rsidR="000D3388">
        <w:t>overruns</w:t>
      </w:r>
      <w:r w:rsidR="006C14C5">
        <w:t xml:space="preserve"> and delays</w:t>
      </w:r>
      <w:r w:rsidR="000D3388">
        <w:t xml:space="preserve">. </w:t>
      </w:r>
      <w:r w:rsidR="00CB3BF2">
        <w:t>Umpires thus</w:t>
      </w:r>
      <w:r w:rsidR="00F028A4">
        <w:t xml:space="preserve"> are effective to</w:t>
      </w:r>
      <w:r w:rsidR="00CB3BF2">
        <w:t xml:space="preserve"> </w:t>
      </w:r>
      <w:r w:rsidR="00AA3014">
        <w:t>adjudicat</w:t>
      </w:r>
      <w:r w:rsidR="00F028A4">
        <w:t>e</w:t>
      </w:r>
      <w:r w:rsidR="00AA3014">
        <w:t xml:space="preserve"> disagreements</w:t>
      </w:r>
      <w:r w:rsidR="006C14C5">
        <w:t>,</w:t>
      </w:r>
      <w:r w:rsidR="00AA3014">
        <w:t xml:space="preserve"> but</w:t>
      </w:r>
      <w:r w:rsidR="00F028A4">
        <w:t xml:space="preserve"> </w:t>
      </w:r>
      <w:r w:rsidR="006C14C5">
        <w:t>exacerbate the</w:t>
      </w:r>
      <w:r w:rsidR="00F028A4">
        <w:t xml:space="preserve"> interdepen</w:t>
      </w:r>
      <w:r w:rsidR="006C14C5">
        <w:t>dency of the project organization with</w:t>
      </w:r>
      <w:r w:rsidR="00F028A4">
        <w:t xml:space="preserve"> the environment by</w:t>
      </w:r>
      <w:r w:rsidR="00AA3014">
        <w:t xml:space="preserve"> </w:t>
      </w:r>
      <w:r w:rsidR="008F08DC">
        <w:t>offer</w:t>
      </w:r>
      <w:r w:rsidR="00F028A4">
        <w:t>ing</w:t>
      </w:r>
      <w:r w:rsidR="008F08DC">
        <w:t xml:space="preserve"> disputants a last-resort, delaying mechanism</w:t>
      </w:r>
      <w:r w:rsidR="00F028A4">
        <w:t xml:space="preserve"> that</w:t>
      </w:r>
      <w:r w:rsidR="006C14C5">
        <w:t xml:space="preserve"> </w:t>
      </w:r>
      <w:r w:rsidR="00A25CB6">
        <w:t>mak</w:t>
      </w:r>
      <w:r w:rsidR="00F028A4">
        <w:t>e</w:t>
      </w:r>
      <w:r w:rsidR="006C14C5">
        <w:t>s</w:t>
      </w:r>
      <w:r w:rsidR="00CB3BF2">
        <w:t xml:space="preserve"> </w:t>
      </w:r>
      <w:r w:rsidR="00A25CB6">
        <w:t xml:space="preserve">it harder to </w:t>
      </w:r>
      <w:r w:rsidR="00821389">
        <w:t>meet</w:t>
      </w:r>
      <w:r w:rsidR="00A25CB6">
        <w:t xml:space="preserve"> </w:t>
      </w:r>
      <w:r w:rsidR="00821389">
        <w:t>normative expectation</w:t>
      </w:r>
      <w:r w:rsidR="00A25CB6">
        <w:t>s</w:t>
      </w:r>
      <w:r w:rsidR="00821389">
        <w:t xml:space="preserve"> of</w:t>
      </w:r>
      <w:r w:rsidR="000D3388">
        <w:t xml:space="preserve"> performance. </w:t>
      </w:r>
      <w:r w:rsidR="00974F02">
        <w:t xml:space="preserve">Knowing </w:t>
      </w:r>
      <w:r w:rsidR="00F028A4">
        <w:t>this,</w:t>
      </w:r>
      <w:r w:rsidR="008F08DC">
        <w:t xml:space="preserve"> and recognizing that time</w:t>
      </w:r>
      <w:r w:rsidR="006C14C5">
        <w:t xml:space="preserve"> </w:t>
      </w:r>
      <w:r w:rsidR="008F08DC">
        <w:t xml:space="preserve">was not a luxury </w:t>
      </w:r>
      <w:r w:rsidR="006C14C5">
        <w:t xml:space="preserve">that the project participants </w:t>
      </w:r>
      <w:proofErr w:type="gramStart"/>
      <w:r w:rsidR="008F08DC">
        <w:t>possessed</w:t>
      </w:r>
      <w:r w:rsidR="00974F02">
        <w:t>,</w:t>
      </w:r>
      <w:proofErr w:type="gramEnd"/>
      <w:r w:rsidR="00974F02">
        <w:t xml:space="preserve"> Parliament chose to get out of the way for the Olympic </w:t>
      </w:r>
      <w:r w:rsidR="008F08DC">
        <w:t>P</w:t>
      </w:r>
      <w:r w:rsidR="00974F02">
        <w:t xml:space="preserve">ark project. This suggests </w:t>
      </w:r>
      <w:r w:rsidR="00CB3BF2">
        <w:t>the</w:t>
      </w:r>
      <w:r w:rsidR="00BA12B6">
        <w:t xml:space="preserve"> presence of an umpire</w:t>
      </w:r>
      <w:r w:rsidR="00CB3BF2">
        <w:t xml:space="preserve"> </w:t>
      </w:r>
      <w:r w:rsidR="00A25CB6">
        <w:t>fundamentally changes the management problem.</w:t>
      </w:r>
    </w:p>
    <w:p w14:paraId="5DD1D3EA" w14:textId="1D1A38C9" w:rsidR="00A25CB6" w:rsidRDefault="00974F02" w:rsidP="00A229B2">
      <w:pPr>
        <w:ind w:firstLine="0"/>
        <w:rPr>
          <w:i/>
        </w:rPr>
      </w:pPr>
      <w:r w:rsidRPr="00A229B2">
        <w:rPr>
          <w:i/>
        </w:rPr>
        <w:t>Understanding the Role of Slack Resources</w:t>
      </w:r>
    </w:p>
    <w:p w14:paraId="3EE2009B" w14:textId="19F59EDA" w:rsidR="00DA3D2E" w:rsidRDefault="00974F02" w:rsidP="00397F8B">
      <w:r>
        <w:t>Unlike umpires, slack resources</w:t>
      </w:r>
      <w:r w:rsidR="00397F8B">
        <w:t xml:space="preserve"> such as contingency funds</w:t>
      </w:r>
      <w:r>
        <w:t xml:space="preserve"> are controlled by the promoter and thus</w:t>
      </w:r>
      <w:r w:rsidR="00BA317F">
        <w:t xml:space="preserve"> are an administrative structure</w:t>
      </w:r>
      <w:r>
        <w:t xml:space="preserve"> </w:t>
      </w:r>
      <w:r w:rsidR="00D16FF7">
        <w:t xml:space="preserve">internal </w:t>
      </w:r>
      <w:r>
        <w:t>to the project organization.</w:t>
      </w:r>
      <w:r w:rsidR="00397F8B" w:rsidRPr="00397F8B">
        <w:t xml:space="preserve"> </w:t>
      </w:r>
      <w:r w:rsidR="00397F8B">
        <w:t>The main advantage of slack resources is that they help</w:t>
      </w:r>
      <w:r w:rsidR="00397F8B" w:rsidRPr="00300E7D">
        <w:t xml:space="preserve"> disputants</w:t>
      </w:r>
      <w:r w:rsidR="00397F8B">
        <w:t xml:space="preserve"> reconcile their interests without having to resolve the problem</w:t>
      </w:r>
      <w:r w:rsidR="00D16FF7">
        <w:t>,</w:t>
      </w:r>
      <w:r w:rsidR="00D16FF7" w:rsidRPr="00D16FF7">
        <w:t xml:space="preserve"> </w:t>
      </w:r>
      <w:r w:rsidR="00D16FF7">
        <w:t xml:space="preserve">what </w:t>
      </w:r>
      <w:proofErr w:type="spellStart"/>
      <w:r w:rsidR="00D16FF7">
        <w:t>Cyert</w:t>
      </w:r>
      <w:proofErr w:type="spellEnd"/>
      <w:r w:rsidR="00D16FF7">
        <w:t xml:space="preserve"> and March (196</w:t>
      </w:r>
      <w:r w:rsidR="002B755C">
        <w:t>3</w:t>
      </w:r>
      <w:r w:rsidR="00D16FF7">
        <w:t>) call ‘quasi-resolution’ of disputes</w:t>
      </w:r>
      <w:r w:rsidR="00397F8B">
        <w:t>.</w:t>
      </w:r>
      <w:r w:rsidR="00397F8B" w:rsidRPr="00300E7D">
        <w:t xml:space="preserve"> </w:t>
      </w:r>
      <w:r w:rsidR="00CB3BF2">
        <w:t>However, l</w:t>
      </w:r>
      <w:r w:rsidR="00397F8B">
        <w:t xml:space="preserve">iterature on slack is </w:t>
      </w:r>
      <w:r w:rsidR="00CB3BF2">
        <w:t xml:space="preserve">also </w:t>
      </w:r>
      <w:r w:rsidR="00397F8B">
        <w:t>in agreement that</w:t>
      </w:r>
      <w:r w:rsidR="00CB3BF2">
        <w:t xml:space="preserve"> there is a real risk of slack </w:t>
      </w:r>
      <w:r w:rsidR="00397F8B">
        <w:t>encourag</w:t>
      </w:r>
      <w:r w:rsidR="00CB3BF2">
        <w:t>ing</w:t>
      </w:r>
      <w:r w:rsidR="00397F8B">
        <w:t xml:space="preserve"> inefficient behaviour (</w:t>
      </w:r>
      <w:r w:rsidR="00D16FF7">
        <w:t>see Dolmans et al. 2014 for a recent review</w:t>
      </w:r>
      <w:r w:rsidR="00397F8B">
        <w:t xml:space="preserve">). It is outside the scope of this study to resolve this trade-off in the </w:t>
      </w:r>
      <w:r w:rsidR="00397F8B">
        <w:lastRenderedPageBreak/>
        <w:t xml:space="preserve">context of capital-intensive project organizations. Our point here is to show that the amount of slack </w:t>
      </w:r>
      <w:r w:rsidR="009003CE">
        <w:t xml:space="preserve">available also fundamentally </w:t>
      </w:r>
      <w:r w:rsidR="00397F8B">
        <w:t>changes the management problem.</w:t>
      </w:r>
    </w:p>
    <w:p w14:paraId="29EDBDC0" w14:textId="58EC06B6" w:rsidR="00B3451C" w:rsidRPr="0042517B" w:rsidRDefault="00397F8B" w:rsidP="00F07DEB">
      <w:r>
        <w:t xml:space="preserve"> </w:t>
      </w:r>
      <w:r w:rsidRPr="00527D5E">
        <w:t xml:space="preserve">In our setting, public policy </w:t>
      </w:r>
      <w:r w:rsidR="00CB3BF2" w:rsidRPr="00527D5E">
        <w:t xml:space="preserve">pragmatically </w:t>
      </w:r>
      <w:r w:rsidRPr="00527D5E">
        <w:t xml:space="preserve">encouraged promoters to establish large </w:t>
      </w:r>
      <w:r w:rsidR="00BA317F" w:rsidRPr="001576F2">
        <w:t xml:space="preserve">contingency funds </w:t>
      </w:r>
      <w:r w:rsidRPr="0042517B">
        <w:t xml:space="preserve">to accommodate </w:t>
      </w:r>
      <w:r w:rsidR="00CB3BF2" w:rsidRPr="0042517B">
        <w:t>cost hikes</w:t>
      </w:r>
      <w:r w:rsidR="009003CE" w:rsidRPr="0042517B">
        <w:t xml:space="preserve"> over time.</w:t>
      </w:r>
      <w:r w:rsidR="00CB3BF2" w:rsidRPr="0042517B">
        <w:t xml:space="preserve"> </w:t>
      </w:r>
      <w:r w:rsidR="004160C1" w:rsidRPr="0042517B">
        <w:t xml:space="preserve">In all </w:t>
      </w:r>
      <w:r w:rsidRPr="00B33E51">
        <w:t>public project</w:t>
      </w:r>
      <w:r w:rsidR="003D5319" w:rsidRPr="00B33E51">
        <w:t>s</w:t>
      </w:r>
      <w:r w:rsidR="004160C1" w:rsidRPr="00B33E51">
        <w:t xml:space="preserve"> the promoter</w:t>
      </w:r>
      <w:r w:rsidRPr="00B33E51">
        <w:t xml:space="preserve"> took advantage of the policy</w:t>
      </w:r>
      <w:r w:rsidR="003D5319" w:rsidRPr="00B33E51">
        <w:t>, and</w:t>
      </w:r>
      <w:r w:rsidRPr="00B33E51">
        <w:t xml:space="preserve"> </w:t>
      </w:r>
      <w:r w:rsidR="004160C1" w:rsidRPr="00B33E51">
        <w:t xml:space="preserve">set </w:t>
      </w:r>
      <w:r w:rsidRPr="00B33E51">
        <w:t>conservative budgets</w:t>
      </w:r>
      <w:r w:rsidR="00622681" w:rsidRPr="00B33E51">
        <w:t>;</w:t>
      </w:r>
      <w:r w:rsidR="009003CE" w:rsidRPr="00B33E51">
        <w:t xml:space="preserve"> </w:t>
      </w:r>
      <w:r w:rsidR="00622681" w:rsidRPr="00B33E51">
        <w:t xml:space="preserve">our </w:t>
      </w:r>
      <w:r w:rsidR="009003CE" w:rsidRPr="00B33E51">
        <w:t xml:space="preserve">analysis </w:t>
      </w:r>
      <w:r w:rsidR="003B1F15" w:rsidRPr="00B33E51">
        <w:t xml:space="preserve">also </w:t>
      </w:r>
      <w:r w:rsidR="009003CE" w:rsidRPr="00B33E51">
        <w:t>shows that</w:t>
      </w:r>
      <w:r w:rsidR="003B1F15" w:rsidRPr="00B33E51">
        <w:t xml:space="preserve"> over time</w:t>
      </w:r>
      <w:r w:rsidR="009003CE" w:rsidRPr="00B33E51">
        <w:t xml:space="preserve"> the</w:t>
      </w:r>
      <w:r w:rsidR="00CE4F4E" w:rsidRPr="00B33E51">
        <w:t xml:space="preserve"> </w:t>
      </w:r>
      <w:r w:rsidR="009003CE" w:rsidRPr="00B33E51">
        <w:t xml:space="preserve">contingency funds </w:t>
      </w:r>
      <w:r w:rsidR="00547039" w:rsidRPr="00B33E51">
        <w:t>were</w:t>
      </w:r>
      <w:r w:rsidR="003B1F15" w:rsidRPr="00527D5E">
        <w:t xml:space="preserve"> depleted </w:t>
      </w:r>
      <w:r w:rsidR="009003CE" w:rsidRPr="00527D5E">
        <w:t>to finance local concessions</w:t>
      </w:r>
      <w:r w:rsidR="004160C1" w:rsidRPr="00527D5E">
        <w:t xml:space="preserve">. This pattern </w:t>
      </w:r>
      <w:r w:rsidR="00547039" w:rsidRPr="00B33E51">
        <w:t>merit</w:t>
      </w:r>
      <w:r w:rsidR="00547039" w:rsidRPr="00527D5E">
        <w:t xml:space="preserve">s </w:t>
      </w:r>
      <w:r w:rsidR="004160C1" w:rsidRPr="00527D5E">
        <w:t xml:space="preserve">two observations. </w:t>
      </w:r>
      <w:r w:rsidR="00305C6E" w:rsidRPr="00527D5E">
        <w:t>On the one hand</w:t>
      </w:r>
      <w:r w:rsidR="004160C1" w:rsidRPr="00527D5E">
        <w:t xml:space="preserve">, </w:t>
      </w:r>
      <w:r w:rsidR="00622681" w:rsidRPr="00527D5E">
        <w:t xml:space="preserve">by masking cost </w:t>
      </w:r>
      <w:r w:rsidR="00B3451C" w:rsidRPr="00527D5E">
        <w:t>hikes</w:t>
      </w:r>
      <w:r w:rsidR="00622681" w:rsidRPr="00527D5E">
        <w:t xml:space="preserve">, </w:t>
      </w:r>
      <w:r w:rsidR="003B1F15" w:rsidRPr="00527D5E">
        <w:t>slack enable</w:t>
      </w:r>
      <w:r w:rsidR="00305C6E" w:rsidRPr="00527D5E">
        <w:t>s</w:t>
      </w:r>
      <w:r w:rsidR="003B1F15" w:rsidRPr="00527D5E">
        <w:t xml:space="preserve"> the </w:t>
      </w:r>
      <w:r w:rsidR="004160C1" w:rsidRPr="00527D5E">
        <w:t>promoter</w:t>
      </w:r>
      <w:r w:rsidR="003B1F15" w:rsidRPr="00527D5E">
        <w:t xml:space="preserve"> to </w:t>
      </w:r>
      <w:r w:rsidR="00305C6E" w:rsidRPr="00527D5E">
        <w:t>claim</w:t>
      </w:r>
      <w:r w:rsidR="003B1F15" w:rsidRPr="00527D5E">
        <w:t xml:space="preserve"> public</w:t>
      </w:r>
      <w:r w:rsidR="00622681" w:rsidRPr="00527D5E">
        <w:t xml:space="preserve">ly </w:t>
      </w:r>
      <w:r w:rsidR="00547039" w:rsidRPr="00B33E51">
        <w:t>that</w:t>
      </w:r>
      <w:r w:rsidR="00547039" w:rsidRPr="00527D5E">
        <w:t xml:space="preserve"> </w:t>
      </w:r>
      <w:r w:rsidR="00F07DEB" w:rsidRPr="00527D5E">
        <w:t>the project</w:t>
      </w:r>
      <w:r w:rsidR="00622681" w:rsidRPr="00527D5E">
        <w:t xml:space="preserve">s </w:t>
      </w:r>
      <w:r w:rsidR="00305C6E" w:rsidRPr="00527D5E">
        <w:t xml:space="preserve">are </w:t>
      </w:r>
      <w:r w:rsidR="003B1F15" w:rsidRPr="00527D5E">
        <w:t>on ‘target’</w:t>
      </w:r>
      <w:r w:rsidR="004160C1" w:rsidRPr="00527D5E">
        <w:t xml:space="preserve">. </w:t>
      </w:r>
      <w:r w:rsidR="00547039" w:rsidRPr="00B33E51">
        <w:t>Clearly,</w:t>
      </w:r>
      <w:r w:rsidR="00F07DEB" w:rsidRPr="00527D5E">
        <w:t xml:space="preserve"> </w:t>
      </w:r>
      <w:r w:rsidR="00547039" w:rsidRPr="00B33E51">
        <w:t>“</w:t>
      </w:r>
      <w:r w:rsidR="004160C1" w:rsidRPr="00527D5E">
        <w:t>no project</w:t>
      </w:r>
      <w:r w:rsidR="00F07DEB" w:rsidRPr="00527D5E">
        <w:t xml:space="preserve"> </w:t>
      </w:r>
      <w:r w:rsidR="004160C1" w:rsidRPr="00527D5E">
        <w:t>is an i</w:t>
      </w:r>
      <w:r w:rsidR="00F07DEB" w:rsidRPr="00527D5E">
        <w:t>sland</w:t>
      </w:r>
      <w:r w:rsidR="00547039" w:rsidRPr="00B33E51">
        <w:t>”</w:t>
      </w:r>
      <w:r w:rsidR="00622681" w:rsidRPr="00527D5E">
        <w:t xml:space="preserve"> (</w:t>
      </w:r>
      <w:proofErr w:type="spellStart"/>
      <w:r w:rsidR="00622681" w:rsidRPr="00527D5E">
        <w:t>Engwall</w:t>
      </w:r>
      <w:proofErr w:type="spellEnd"/>
      <w:r w:rsidR="00622681" w:rsidRPr="00527D5E">
        <w:t xml:space="preserve"> 2003)</w:t>
      </w:r>
      <w:r w:rsidR="004160C1" w:rsidRPr="00527D5E">
        <w:t xml:space="preserve"> and slack </w:t>
      </w:r>
      <w:r w:rsidR="00547039" w:rsidRPr="00B33E51">
        <w:t xml:space="preserve">by itself </w:t>
      </w:r>
      <w:r w:rsidR="004160C1" w:rsidRPr="00527D5E">
        <w:t>cannot fully decouple the project from the environment.</w:t>
      </w:r>
      <w:r w:rsidR="00F07DEB" w:rsidRPr="00527D5E">
        <w:t xml:space="preserve"> </w:t>
      </w:r>
      <w:r w:rsidR="00305C6E" w:rsidRPr="00527D5E">
        <w:t xml:space="preserve">Still, if </w:t>
      </w:r>
      <w:r w:rsidR="004160C1" w:rsidRPr="00527D5E">
        <w:t>slack</w:t>
      </w:r>
      <w:r w:rsidR="00305C6E" w:rsidRPr="00527D5E">
        <w:t xml:space="preserve"> is substantive,</w:t>
      </w:r>
      <w:r w:rsidR="004160C1" w:rsidRPr="00527D5E">
        <w:t xml:space="preserve"> </w:t>
      </w:r>
      <w:r w:rsidR="00547039" w:rsidRPr="00B33E51">
        <w:t xml:space="preserve">it provides </w:t>
      </w:r>
      <w:r w:rsidR="004160C1" w:rsidRPr="00527D5E">
        <w:t xml:space="preserve">the promoter </w:t>
      </w:r>
      <w:r w:rsidR="00547039" w:rsidRPr="00B33E51">
        <w:t>with the ability to</w:t>
      </w:r>
      <w:r w:rsidR="00547039" w:rsidRPr="00527D5E">
        <w:t xml:space="preserve"> </w:t>
      </w:r>
      <w:r w:rsidR="004160C1" w:rsidRPr="00527D5E">
        <w:t>mak</w:t>
      </w:r>
      <w:r w:rsidR="00305C6E" w:rsidRPr="00527D5E">
        <w:t>e numerous</w:t>
      </w:r>
      <w:r w:rsidR="00622681" w:rsidRPr="00527D5E">
        <w:t xml:space="preserve"> </w:t>
      </w:r>
      <w:r w:rsidR="004160C1" w:rsidRPr="00527D5E">
        <w:t>concessions to the co-opted actors</w:t>
      </w:r>
      <w:r w:rsidR="00622681" w:rsidRPr="00527D5E">
        <w:t xml:space="preserve"> without violating </w:t>
      </w:r>
      <w:r w:rsidR="004160C1" w:rsidRPr="00527D5E">
        <w:t xml:space="preserve">the </w:t>
      </w:r>
      <w:r w:rsidR="00622681" w:rsidRPr="00527D5E">
        <w:t xml:space="preserve">norms </w:t>
      </w:r>
      <w:r w:rsidR="00B3451C" w:rsidRPr="00527D5E">
        <w:t>used by</w:t>
      </w:r>
      <w:r w:rsidR="004160C1" w:rsidRPr="00527D5E">
        <w:t xml:space="preserve"> third parties </w:t>
      </w:r>
      <w:r w:rsidR="00B3451C" w:rsidRPr="00527D5E">
        <w:t xml:space="preserve">to </w:t>
      </w:r>
      <w:r w:rsidR="004160C1" w:rsidRPr="00527D5E">
        <w:t>evalu</w:t>
      </w:r>
      <w:r w:rsidR="00B3451C" w:rsidRPr="00527D5E">
        <w:t>ate</w:t>
      </w:r>
      <w:r w:rsidR="00305C6E" w:rsidRPr="00527D5E">
        <w:t xml:space="preserve"> </w:t>
      </w:r>
      <w:r w:rsidR="00547039" w:rsidRPr="00B33E51">
        <w:t xml:space="preserve">project </w:t>
      </w:r>
      <w:r w:rsidR="004160C1" w:rsidRPr="00527D5E">
        <w:t>performance</w:t>
      </w:r>
      <w:r w:rsidR="006F1F5E" w:rsidRPr="00527D5E">
        <w:t xml:space="preserve">. This </w:t>
      </w:r>
      <w:r w:rsidR="00547039" w:rsidRPr="00B33E51">
        <w:t xml:space="preserve">circumstance </w:t>
      </w:r>
      <w:r w:rsidR="006F1F5E" w:rsidRPr="00527D5E">
        <w:t>reduces the interdependency between the project organization and the environment, which in turn reduces management complexity.</w:t>
      </w:r>
      <w:r w:rsidR="004160C1" w:rsidRPr="001576F2">
        <w:t xml:space="preserve"> </w:t>
      </w:r>
    </w:p>
    <w:p w14:paraId="1A2B9B16" w14:textId="47D83087" w:rsidR="00B3451C" w:rsidRDefault="004160C1" w:rsidP="00F07DEB">
      <w:r w:rsidRPr="0042517B">
        <w:t xml:space="preserve"> </w:t>
      </w:r>
      <w:r w:rsidR="00305C6E" w:rsidRPr="0042517B">
        <w:t>On the other hand</w:t>
      </w:r>
      <w:r w:rsidR="006F1F5E" w:rsidRPr="0042517B">
        <w:t>,</w:t>
      </w:r>
      <w:r w:rsidR="00B3451C" w:rsidRPr="0042517B">
        <w:t xml:space="preserve"> the fact that </w:t>
      </w:r>
      <w:r w:rsidR="00F07DEB" w:rsidRPr="0042517B">
        <w:t>cost</w:t>
      </w:r>
      <w:r w:rsidR="00305C6E" w:rsidRPr="00B33E51">
        <w:t xml:space="preserve"> forecasts</w:t>
      </w:r>
      <w:r w:rsidR="00F07DEB" w:rsidRPr="00B33E51">
        <w:t xml:space="preserve"> </w:t>
      </w:r>
      <w:r w:rsidR="00B3451C" w:rsidRPr="00B33E51">
        <w:t xml:space="preserve">invariably </w:t>
      </w:r>
      <w:r w:rsidR="00F07DEB" w:rsidRPr="00B33E51">
        <w:t>grew asymptotically to the budget</w:t>
      </w:r>
      <w:r w:rsidR="00B3451C" w:rsidRPr="00B33E51">
        <w:t xml:space="preserve"> </w:t>
      </w:r>
      <w:r w:rsidR="00305C6E" w:rsidRPr="00B33E51">
        <w:t xml:space="preserve">envelope </w:t>
      </w:r>
      <w:r w:rsidR="003B1F15" w:rsidRPr="00B33E51">
        <w:t xml:space="preserve">resonates with the notion of self-fulfilling prophecy </w:t>
      </w:r>
      <w:r w:rsidR="006F1F5E" w:rsidRPr="00B33E51">
        <w:t>– the idea that</w:t>
      </w:r>
      <w:r w:rsidR="00F07DEB" w:rsidRPr="00B33E51">
        <w:t xml:space="preserve"> </w:t>
      </w:r>
      <w:r w:rsidR="003B1F15" w:rsidRPr="00B33E51">
        <w:t>people’s behaviour, influenced by</w:t>
      </w:r>
      <w:r w:rsidR="00F07DEB" w:rsidRPr="00B33E51">
        <w:t xml:space="preserve"> false</w:t>
      </w:r>
      <w:r w:rsidR="003B1F15" w:rsidRPr="00B33E51">
        <w:t xml:space="preserve"> expectations, cause</w:t>
      </w:r>
      <w:r w:rsidR="006F1F5E" w:rsidRPr="00B33E51">
        <w:t>s</w:t>
      </w:r>
      <w:r w:rsidR="003B1F15" w:rsidRPr="00B33E51">
        <w:t xml:space="preserve"> those expectations to come true</w:t>
      </w:r>
      <w:r w:rsidR="00F07DEB" w:rsidRPr="00B33E51">
        <w:t xml:space="preserve"> (Merton 1968)</w:t>
      </w:r>
      <w:r w:rsidR="003B1F15" w:rsidRPr="00B33E51">
        <w:t xml:space="preserve">. </w:t>
      </w:r>
      <w:r w:rsidR="00F07DEB" w:rsidRPr="00B33E51">
        <w:t xml:space="preserve">Self-fulling prophecies </w:t>
      </w:r>
      <w:r w:rsidR="00622681" w:rsidRPr="00B33E51">
        <w:t>occur when public definitions of a situation become an integral part of the situation</w:t>
      </w:r>
      <w:r w:rsidR="00305C6E" w:rsidRPr="00B33E51">
        <w:t>,</w:t>
      </w:r>
      <w:r w:rsidR="00622681" w:rsidRPr="00B33E51">
        <w:t xml:space="preserve"> and thus affect subsequent developments. In our case, public </w:t>
      </w:r>
      <w:r w:rsidR="00F07DEB" w:rsidRPr="00B33E51">
        <w:t>policy</w:t>
      </w:r>
      <w:r w:rsidR="00622681" w:rsidRPr="00B33E51">
        <w:t xml:space="preserve"> </w:t>
      </w:r>
      <w:r w:rsidR="00F07DEB" w:rsidRPr="00B33E51">
        <w:t xml:space="preserve">differentiates ‘cost’ and ‘budget’, </w:t>
      </w:r>
      <w:r w:rsidR="00622681" w:rsidRPr="00B33E51">
        <w:t xml:space="preserve">but </w:t>
      </w:r>
      <w:r w:rsidR="00F07DEB" w:rsidRPr="00B33E51">
        <w:t xml:space="preserve">the two words are </w:t>
      </w:r>
      <w:r w:rsidR="006F1F5E" w:rsidRPr="00B33E51">
        <w:t xml:space="preserve">frequently </w:t>
      </w:r>
      <w:r w:rsidR="00F07DEB" w:rsidRPr="00B33E51">
        <w:t xml:space="preserve">used interchangeably in </w:t>
      </w:r>
      <w:r w:rsidR="00622681" w:rsidRPr="00B33E51">
        <w:t>lay discourse</w:t>
      </w:r>
      <w:r w:rsidR="00F07DEB" w:rsidRPr="00B33E51">
        <w:t xml:space="preserve">. </w:t>
      </w:r>
      <w:r w:rsidR="00877A8D" w:rsidRPr="00B33E51">
        <w:t xml:space="preserve">Our </w:t>
      </w:r>
      <w:r w:rsidR="00527D5E">
        <w:t xml:space="preserve">data is insufficient to </w:t>
      </w:r>
      <w:r w:rsidR="00547039" w:rsidRPr="00B33E51">
        <w:t>determin</w:t>
      </w:r>
      <w:r w:rsidR="00527D5E">
        <w:t>e</w:t>
      </w:r>
      <w:r w:rsidR="003B1F15" w:rsidRPr="00527D5E">
        <w:t xml:space="preserve"> </w:t>
      </w:r>
      <w:r w:rsidR="00877A8D" w:rsidRPr="00527D5E">
        <w:t>whether</w:t>
      </w:r>
      <w:r w:rsidR="00CE4F4E" w:rsidRPr="00527D5E">
        <w:t xml:space="preserve"> </w:t>
      </w:r>
      <w:r w:rsidR="00877A8D" w:rsidRPr="00527D5E">
        <w:t xml:space="preserve">eventual </w:t>
      </w:r>
      <w:r w:rsidR="006F1F5E" w:rsidRPr="00527D5E">
        <w:t xml:space="preserve">policy </w:t>
      </w:r>
      <w:r w:rsidR="00F07DEB" w:rsidRPr="00527D5E">
        <w:t>misconceptions</w:t>
      </w:r>
      <w:r w:rsidR="006F1F5E" w:rsidRPr="00527D5E">
        <w:t xml:space="preserve"> </w:t>
      </w:r>
      <w:r w:rsidR="00622681" w:rsidRPr="00527D5E">
        <w:t xml:space="preserve">either made the promoter more willing to concede and/or made it easier for others to force the promoter’s </w:t>
      </w:r>
      <w:r w:rsidR="00B3451C" w:rsidRPr="00527D5E">
        <w:t>hand</w:t>
      </w:r>
      <w:r w:rsidR="00622681" w:rsidRPr="00527D5E">
        <w:t xml:space="preserve">. </w:t>
      </w:r>
      <w:r w:rsidR="00305C6E" w:rsidRPr="00527D5E">
        <w:t>However,</w:t>
      </w:r>
      <w:r w:rsidR="00B3451C" w:rsidRPr="00527D5E">
        <w:t xml:space="preserve"> </w:t>
      </w:r>
      <w:r w:rsidR="00527D5E">
        <w:t xml:space="preserve">our analysis does </w:t>
      </w:r>
      <w:r w:rsidR="006F1F5E" w:rsidRPr="00527D5E">
        <w:t>suggest</w:t>
      </w:r>
      <w:r w:rsidR="00527D5E">
        <w:t xml:space="preserve"> that</w:t>
      </w:r>
      <w:r w:rsidR="00B3451C" w:rsidRPr="00527D5E">
        <w:t xml:space="preserve"> slack </w:t>
      </w:r>
      <w:r w:rsidR="006F1F5E" w:rsidRPr="00527D5E">
        <w:t xml:space="preserve">amplifies the risk of </w:t>
      </w:r>
      <w:r w:rsidR="00305C6E" w:rsidRPr="00527D5E">
        <w:t xml:space="preserve">scope creep and corresponding </w:t>
      </w:r>
      <w:r w:rsidR="006F1F5E" w:rsidRPr="00527D5E">
        <w:t xml:space="preserve">cost escalation up to the threshold set by the slack that </w:t>
      </w:r>
      <w:r w:rsidR="00527D5E">
        <w:t xml:space="preserve">is </w:t>
      </w:r>
      <w:r w:rsidR="006F1F5E" w:rsidRPr="00527D5E">
        <w:t>available.</w:t>
      </w:r>
    </w:p>
    <w:p w14:paraId="76F57DCC" w14:textId="4BCA767F" w:rsidR="00FD1374" w:rsidRDefault="00397F8B" w:rsidP="009003CE">
      <w:r>
        <w:lastRenderedPageBreak/>
        <w:t xml:space="preserve"> </w:t>
      </w:r>
      <w:r w:rsidR="006F1F5E">
        <w:t xml:space="preserve">Knowing this, </w:t>
      </w:r>
      <w:r w:rsidR="00DA3D2E" w:rsidRPr="00300E7D">
        <w:t xml:space="preserve">BAA management </w:t>
      </w:r>
      <w:r w:rsidR="00DA3D2E">
        <w:t>and the airlines</w:t>
      </w:r>
      <w:r w:rsidR="006F1F5E">
        <w:t xml:space="preserve"> </w:t>
      </w:r>
      <w:r w:rsidR="00DA3D2E">
        <w:t>fought</w:t>
      </w:r>
      <w:r w:rsidR="00DA3D2E" w:rsidRPr="00390B67">
        <w:t xml:space="preserve"> against the use of excessive slack, denouncing the government’s use of, in their view, ‘over-egged budgets’</w:t>
      </w:r>
      <w:r w:rsidR="00DA3D2E">
        <w:t>.</w:t>
      </w:r>
      <w:r w:rsidR="0067788C">
        <w:t xml:space="preserve"> Interesting</w:t>
      </w:r>
      <w:r w:rsidR="006F1F5E">
        <w:t>ly</w:t>
      </w:r>
      <w:r w:rsidR="0067788C">
        <w:t xml:space="preserve">, our evidence shows the </w:t>
      </w:r>
      <w:r w:rsidR="00B47F2E">
        <w:t xml:space="preserve">subsequent </w:t>
      </w:r>
      <w:r w:rsidR="0067788C">
        <w:t xml:space="preserve">cost overruns in T2 were </w:t>
      </w:r>
      <w:r w:rsidR="00527D5E">
        <w:t xml:space="preserve">much </w:t>
      </w:r>
      <w:r w:rsidR="0067788C">
        <w:t xml:space="preserve">more moderate relative to the </w:t>
      </w:r>
      <w:r w:rsidR="00527D5E">
        <w:t xml:space="preserve">three public </w:t>
      </w:r>
      <w:r w:rsidR="0067788C">
        <w:t xml:space="preserve">projects. </w:t>
      </w:r>
      <w:r w:rsidR="00B47F2E">
        <w:t>However,</w:t>
      </w:r>
      <w:r w:rsidR="0067788C">
        <w:t xml:space="preserve"> T2 cannot be compared with the Crossrail or HS2 projects because there were no umpires in the context. This restricts our comparison to T2 and the Olympic </w:t>
      </w:r>
      <w:r w:rsidR="00B47F2E">
        <w:t>P</w:t>
      </w:r>
      <w:r w:rsidR="0067788C">
        <w:t xml:space="preserve">ark projects. Like T2, the Olympics </w:t>
      </w:r>
      <w:r w:rsidR="00B47F2E">
        <w:t>P</w:t>
      </w:r>
      <w:r w:rsidR="0067788C">
        <w:t>ark project had no umpire</w:t>
      </w:r>
      <w:r w:rsidR="00B47F2E">
        <w:t xml:space="preserve"> b</w:t>
      </w:r>
      <w:r w:rsidR="0067788C">
        <w:t>ut unlike T2,</w:t>
      </w:r>
      <w:r w:rsidR="003D5319">
        <w:t xml:space="preserve"> the Olympic </w:t>
      </w:r>
      <w:r w:rsidR="00FD1374">
        <w:t>promoter built in</w:t>
      </w:r>
      <w:r w:rsidR="0067788C">
        <w:t xml:space="preserve"> substantive slack</w:t>
      </w:r>
      <w:r w:rsidR="00FD1374">
        <w:t xml:space="preserve">. </w:t>
      </w:r>
      <w:r w:rsidR="0074359C">
        <w:t xml:space="preserve">The fact </w:t>
      </w:r>
      <w:r w:rsidR="00B47F2E">
        <w:t xml:space="preserve">that </w:t>
      </w:r>
      <w:r w:rsidR="0074359C">
        <w:t>the</w:t>
      </w:r>
      <w:r w:rsidR="00FD1374">
        <w:t xml:space="preserve"> </w:t>
      </w:r>
      <w:r w:rsidR="0074359C">
        <w:t xml:space="preserve">Olympics </w:t>
      </w:r>
      <w:r w:rsidR="00FD1374">
        <w:t xml:space="preserve">contingency </w:t>
      </w:r>
      <w:r w:rsidR="00B47F2E">
        <w:t>fund was ultimately</w:t>
      </w:r>
      <w:r w:rsidR="00FD1374">
        <w:t xml:space="preserve"> </w:t>
      </w:r>
      <w:r w:rsidR="0074359C">
        <w:t>depleted</w:t>
      </w:r>
      <w:r w:rsidR="00FD1374">
        <w:t xml:space="preserve"> again </w:t>
      </w:r>
      <w:r w:rsidR="00FD1374" w:rsidRPr="00390B67">
        <w:t>sugges</w:t>
      </w:r>
      <w:r w:rsidR="00FD1374">
        <w:t>t</w:t>
      </w:r>
      <w:r w:rsidR="0074359C">
        <w:t>s</w:t>
      </w:r>
      <w:r w:rsidR="00FD1374" w:rsidRPr="00390B67">
        <w:t xml:space="preserve"> a</w:t>
      </w:r>
      <w:r w:rsidR="00877A8D">
        <w:t xml:space="preserve"> pattern in agreement with a</w:t>
      </w:r>
      <w:r w:rsidR="00FD1374" w:rsidRPr="00390B67">
        <w:t xml:space="preserve"> self-fulfilling prophecy.</w:t>
      </w:r>
      <w:r w:rsidR="00FD1374">
        <w:t xml:space="preserve"> It thus seems fair to say </w:t>
      </w:r>
      <w:r w:rsidR="00305C6E">
        <w:t xml:space="preserve">that </w:t>
      </w:r>
      <w:r w:rsidR="0074359C">
        <w:t>limited</w:t>
      </w:r>
      <w:r w:rsidR="00FD1374">
        <w:t xml:space="preserve"> slack makes </w:t>
      </w:r>
      <w:r w:rsidR="00BC5348">
        <w:t>disputants</w:t>
      </w:r>
      <w:r w:rsidR="00FD1374">
        <w:t xml:space="preserve"> more accountable for the outcomes of </w:t>
      </w:r>
      <w:r w:rsidR="00BC5348">
        <w:t xml:space="preserve">collective </w:t>
      </w:r>
      <w:r w:rsidR="00FD1374">
        <w:t>searches</w:t>
      </w:r>
      <w:r w:rsidR="0074359C">
        <w:t xml:space="preserve"> for consensual solutions</w:t>
      </w:r>
      <w:r w:rsidR="00FD1374">
        <w:t xml:space="preserve">. </w:t>
      </w:r>
      <w:r w:rsidR="00FD1374" w:rsidRPr="00390B67">
        <w:t>Significantly, our sample does not include a case tha</w:t>
      </w:r>
      <w:r w:rsidR="00FD1374">
        <w:t>t conflates</w:t>
      </w:r>
      <w:r w:rsidR="00FD1374" w:rsidRPr="00390B67">
        <w:t xml:space="preserve"> umpiring and limited slack</w:t>
      </w:r>
      <w:r w:rsidR="00FD1374">
        <w:t xml:space="preserve"> [top right quadrant]</w:t>
      </w:r>
      <w:r w:rsidR="00FD1374" w:rsidRPr="00390B67">
        <w:t xml:space="preserve">. This situation is </w:t>
      </w:r>
      <w:r w:rsidR="00FD1374">
        <w:t xml:space="preserve">discouraged </w:t>
      </w:r>
      <w:r w:rsidR="0074359C">
        <w:t>by</w:t>
      </w:r>
      <w:r w:rsidR="00FD1374">
        <w:t xml:space="preserve"> </w:t>
      </w:r>
      <w:r w:rsidR="00FD1374" w:rsidRPr="00390B67">
        <w:t>UK policy</w:t>
      </w:r>
      <w:r w:rsidR="0074359C">
        <w:t>, a point that we</w:t>
      </w:r>
      <w:r w:rsidR="00FD1374" w:rsidRPr="00390B67">
        <w:t xml:space="preserve"> return to </w:t>
      </w:r>
      <w:r w:rsidR="0074359C">
        <w:t>in the last section.</w:t>
      </w:r>
      <w:r w:rsidR="00FD1374">
        <w:t xml:space="preserve"> </w:t>
      </w:r>
    </w:p>
    <w:p w14:paraId="361B0FAD" w14:textId="3B440BC0" w:rsidR="00FD1374" w:rsidRPr="00390B67" w:rsidRDefault="00FD1374" w:rsidP="00FD1374">
      <w:r>
        <w:t>In sum our</w:t>
      </w:r>
      <w:r w:rsidRPr="00390B67">
        <w:t xml:space="preserve"> </w:t>
      </w:r>
      <w:r>
        <w:t>framework</w:t>
      </w:r>
      <w:r w:rsidRPr="00390B67">
        <w:t xml:space="preserve"> suggests that scope creep and overruns</w:t>
      </w:r>
      <w:r>
        <w:t xml:space="preserve"> are rooted in local disputes endemic to polycentric organiz</w:t>
      </w:r>
      <w:r w:rsidR="00BC5348">
        <w:t>ing</w:t>
      </w:r>
      <w:r w:rsidR="00877A8D">
        <w:t>. A</w:t>
      </w:r>
      <w:r w:rsidRPr="00390B67">
        <w:t xml:space="preserve">nd yet, </w:t>
      </w:r>
      <w:r>
        <w:t xml:space="preserve">simply </w:t>
      </w:r>
      <w:r w:rsidR="00B47F2E">
        <w:t xml:space="preserve">noting </w:t>
      </w:r>
      <w:r>
        <w:t xml:space="preserve">that </w:t>
      </w:r>
      <w:r w:rsidR="0074359C">
        <w:t xml:space="preserve">performance </w:t>
      </w:r>
      <w:r>
        <w:t xml:space="preserve">slippages are endemic is not a satisfactory theoretical approach. </w:t>
      </w:r>
      <w:r w:rsidR="00B47F2E">
        <w:t>In this study</w:t>
      </w:r>
      <w:r w:rsidR="00BC5348">
        <w:t>, we show how different permutations of two</w:t>
      </w:r>
      <w:r w:rsidR="0074359C">
        <w:t xml:space="preserve"> structures</w:t>
      </w:r>
      <w:r w:rsidR="00B47F2E">
        <w:t xml:space="preserve"> – one </w:t>
      </w:r>
      <w:r w:rsidR="00BC5348">
        <w:t>internal and another external</w:t>
      </w:r>
      <w:r w:rsidR="00877A8D">
        <w:t xml:space="preserve"> to the project organization</w:t>
      </w:r>
      <w:r w:rsidR="00B47F2E">
        <w:t xml:space="preserve"> – create </w:t>
      </w:r>
      <w:r>
        <w:t xml:space="preserve">fundamentally different classes of </w:t>
      </w:r>
      <w:r w:rsidR="00877A8D">
        <w:t xml:space="preserve">management </w:t>
      </w:r>
      <w:r>
        <w:t>problems. Our framework is therefore a first step toward a more general theoretical synthesis that addresses the question of why</w:t>
      </w:r>
      <w:r w:rsidR="00527D5E">
        <w:t xml:space="preserve"> capital-intensive</w:t>
      </w:r>
      <w:r>
        <w:t xml:space="preserve"> projects perform the way they </w:t>
      </w:r>
      <w:r w:rsidR="00527D5E">
        <w:t>do</w:t>
      </w:r>
      <w:r>
        <w:t>.</w:t>
      </w:r>
      <w:r w:rsidRPr="00390B67">
        <w:t xml:space="preserve"> </w:t>
      </w:r>
    </w:p>
    <w:p w14:paraId="77D82483" w14:textId="1DCB1D17" w:rsidR="005C3557" w:rsidRPr="00760A28" w:rsidRDefault="005C3557" w:rsidP="005A69DD">
      <w:pPr>
        <w:pStyle w:val="Heading1"/>
      </w:pPr>
      <w:r w:rsidRPr="00760A28">
        <w:t xml:space="preserve">CONCLUSION </w:t>
      </w:r>
    </w:p>
    <w:p w14:paraId="7A12872E" w14:textId="2476F761" w:rsidR="00E244C0" w:rsidRDefault="00BB03A3" w:rsidP="0004423D">
      <w:pPr>
        <w:rPr>
          <w:u w:val="single"/>
        </w:rPr>
      </w:pPr>
      <w:r>
        <w:t xml:space="preserve">In this study we have sought to </w:t>
      </w:r>
      <w:r w:rsidR="00D43582">
        <w:t>advance</w:t>
      </w:r>
      <w:r w:rsidR="0071506E">
        <w:t xml:space="preserve"> our</w:t>
      </w:r>
      <w:r w:rsidR="00B52516">
        <w:t xml:space="preserve"> </w:t>
      </w:r>
      <w:r w:rsidR="0071506E">
        <w:t xml:space="preserve">understanding </w:t>
      </w:r>
      <w:r w:rsidR="00B52516">
        <w:t>of</w:t>
      </w:r>
      <w:r w:rsidR="00E100AD">
        <w:t xml:space="preserve"> the design of</w:t>
      </w:r>
      <w:r w:rsidR="00B52516">
        <w:t xml:space="preserve"> </w:t>
      </w:r>
      <w:r w:rsidR="00BC5348">
        <w:t>capital-intensive</w:t>
      </w:r>
      <w:r w:rsidR="0071506E">
        <w:t xml:space="preserve"> project</w:t>
      </w:r>
      <w:r w:rsidR="00B52516">
        <w:t xml:space="preserve"> organizations</w:t>
      </w:r>
      <w:r w:rsidR="00B47F2E">
        <w:t>, performance outcomes, and potential causal linkages</w:t>
      </w:r>
      <w:r w:rsidR="00B52516">
        <w:t xml:space="preserve">. </w:t>
      </w:r>
      <w:r w:rsidR="0089373F">
        <w:t xml:space="preserve">We </w:t>
      </w:r>
      <w:r w:rsidR="00B47F2E">
        <w:t xml:space="preserve">illustrate </w:t>
      </w:r>
      <w:r w:rsidR="006F178D">
        <w:t>how</w:t>
      </w:r>
      <w:r w:rsidR="00B52516">
        <w:t xml:space="preserve"> </w:t>
      </w:r>
      <w:r w:rsidR="006F178D">
        <w:t>a polycentric architecture</w:t>
      </w:r>
      <w:r w:rsidR="00DF168B">
        <w:t xml:space="preserve"> make</w:t>
      </w:r>
      <w:r w:rsidR="00527D5E">
        <w:t>s</w:t>
      </w:r>
      <w:r w:rsidR="00DF168B">
        <w:t xml:space="preserve"> pluralism more manageable</w:t>
      </w:r>
      <w:r w:rsidR="0004423D">
        <w:t>, and show</w:t>
      </w:r>
      <w:r w:rsidR="00E100AD">
        <w:t xml:space="preserve"> </w:t>
      </w:r>
      <w:r w:rsidR="0004423D">
        <w:t>different classes of management problems</w:t>
      </w:r>
      <w:r w:rsidR="00527D5E">
        <w:t xml:space="preserve"> </w:t>
      </w:r>
      <w:r w:rsidR="0004423D">
        <w:t>within this organization design.</w:t>
      </w:r>
      <w:r w:rsidR="00DF168B">
        <w:t xml:space="preserve"> </w:t>
      </w:r>
      <w:r w:rsidR="00527D5E">
        <w:t xml:space="preserve">These </w:t>
      </w:r>
      <w:r w:rsidR="00527D5E">
        <w:lastRenderedPageBreak/>
        <w:t xml:space="preserve">insights </w:t>
      </w:r>
      <w:r w:rsidR="00B61DE0">
        <w:t>reconcile</w:t>
      </w:r>
      <w:r w:rsidR="00DF168B">
        <w:t xml:space="preserve"> </w:t>
      </w:r>
      <w:r w:rsidR="0089373F">
        <w:t xml:space="preserve">two strands of </w:t>
      </w:r>
      <w:r w:rsidR="00DF168B">
        <w:t xml:space="preserve">conflicting explanations </w:t>
      </w:r>
      <w:r w:rsidR="00B61DE0">
        <w:t>o</w:t>
      </w:r>
      <w:r w:rsidR="005D239C">
        <w:t xml:space="preserve">n project </w:t>
      </w:r>
      <w:r w:rsidR="00B61DE0">
        <w:t>performance</w:t>
      </w:r>
      <w:r w:rsidR="00DF168B">
        <w:t xml:space="preserve">. </w:t>
      </w:r>
      <w:r w:rsidR="00B61DE0">
        <w:t xml:space="preserve">In agreement with claims that trace underperformance to externalities, </w:t>
      </w:r>
      <w:r w:rsidR="00107181">
        <w:t>we</w:t>
      </w:r>
      <w:r w:rsidR="00B61DE0">
        <w:t xml:space="preserve"> </w:t>
      </w:r>
      <w:r w:rsidR="00B44B37">
        <w:t xml:space="preserve">found </w:t>
      </w:r>
      <w:r w:rsidR="00DF168B">
        <w:t xml:space="preserve">performance slippages </w:t>
      </w:r>
      <w:r w:rsidR="00B44B37">
        <w:t>caused by the</w:t>
      </w:r>
      <w:r w:rsidR="00DF168B">
        <w:t xml:space="preserve"> interaction </w:t>
      </w:r>
      <w:r w:rsidR="008A6FFD">
        <w:t xml:space="preserve">of </w:t>
      </w:r>
      <w:r w:rsidR="00DF168B">
        <w:t xml:space="preserve">the promoter </w:t>
      </w:r>
      <w:r w:rsidR="008A6FFD">
        <w:t>with multiple</w:t>
      </w:r>
      <w:r w:rsidR="00DF168B">
        <w:t xml:space="preserve"> </w:t>
      </w:r>
      <w:r w:rsidR="00B61DE0">
        <w:t>autonomous</w:t>
      </w:r>
      <w:r w:rsidR="0004423D">
        <w:t>,</w:t>
      </w:r>
      <w:r w:rsidR="005D239C">
        <w:t xml:space="preserve"> resource-rich</w:t>
      </w:r>
      <w:r w:rsidR="00B61DE0">
        <w:t xml:space="preserve"> </w:t>
      </w:r>
      <w:r w:rsidR="00DF168B">
        <w:t xml:space="preserve">actors. </w:t>
      </w:r>
      <w:r w:rsidR="002A2E1C">
        <w:t xml:space="preserve">The difference is that </w:t>
      </w:r>
      <w:r w:rsidR="00DF168B">
        <w:t xml:space="preserve">our work </w:t>
      </w:r>
      <w:r w:rsidR="00B61DE0">
        <w:t>endogenizes</w:t>
      </w:r>
      <w:r w:rsidR="00DF168B">
        <w:t xml:space="preserve"> </w:t>
      </w:r>
      <w:r w:rsidR="002A2E1C">
        <w:t>these actors</w:t>
      </w:r>
      <w:r w:rsidR="00DD5D7F">
        <w:t xml:space="preserve"> into </w:t>
      </w:r>
      <w:r w:rsidR="005D239C">
        <w:t xml:space="preserve">the </w:t>
      </w:r>
      <w:r w:rsidR="00B44B37">
        <w:t xml:space="preserve">project </w:t>
      </w:r>
      <w:r w:rsidR="005D239C">
        <w:t xml:space="preserve">organisational boundaries </w:t>
      </w:r>
      <w:r w:rsidR="00DF168B">
        <w:t xml:space="preserve">because </w:t>
      </w:r>
      <w:r w:rsidR="00B61DE0">
        <w:t>the</w:t>
      </w:r>
      <w:r w:rsidR="002A2E1C">
        <w:t xml:space="preserve">y </w:t>
      </w:r>
      <w:r w:rsidR="00DF168B">
        <w:t xml:space="preserve">share decision rights. </w:t>
      </w:r>
      <w:r w:rsidR="00B44B37">
        <w:t>I</w:t>
      </w:r>
      <w:r w:rsidR="00B61DE0">
        <w:t>n agreement with claims that trace underperformance to promoter’s behaviour, our study confirms that initial targets are</w:t>
      </w:r>
      <w:r w:rsidR="0004423D">
        <w:t xml:space="preserve"> set unilaterally and </w:t>
      </w:r>
      <w:r w:rsidR="00B61DE0">
        <w:t>invariably optimistic</w:t>
      </w:r>
      <w:r w:rsidR="00B44B37">
        <w:t>ally</w:t>
      </w:r>
      <w:r w:rsidR="00B61DE0">
        <w:t xml:space="preserve">. </w:t>
      </w:r>
      <w:r w:rsidR="00B44B37">
        <w:t xml:space="preserve">However, </w:t>
      </w:r>
      <w:r w:rsidR="00B61DE0">
        <w:t xml:space="preserve">we </w:t>
      </w:r>
      <w:r w:rsidR="00B44B37">
        <w:t xml:space="preserve">found </w:t>
      </w:r>
      <w:r w:rsidR="005D239C">
        <w:t>this pattern</w:t>
      </w:r>
      <w:r w:rsidR="00B61DE0">
        <w:t xml:space="preserve"> is rooted in</w:t>
      </w:r>
      <w:r w:rsidR="005D239C">
        <w:t xml:space="preserve"> </w:t>
      </w:r>
      <w:r w:rsidR="002A2E1C">
        <w:t>optimism</w:t>
      </w:r>
      <w:r w:rsidR="00DD5D7F">
        <w:t xml:space="preserve"> around the actual cost of building consensus.</w:t>
      </w:r>
      <w:r w:rsidR="00B61DE0">
        <w:t xml:space="preserve"> </w:t>
      </w:r>
      <w:r w:rsidR="00B61DE0" w:rsidRPr="00107181">
        <w:t xml:space="preserve">This insight </w:t>
      </w:r>
      <w:r w:rsidR="00E244C0" w:rsidRPr="00107181">
        <w:t>a</w:t>
      </w:r>
      <w:r w:rsidR="0089373F" w:rsidRPr="00107181">
        <w:t>dds</w:t>
      </w:r>
      <w:r w:rsidR="00E244C0" w:rsidRPr="00107181">
        <w:t xml:space="preserve"> nuance</w:t>
      </w:r>
      <w:r w:rsidR="0089373F" w:rsidRPr="00107181">
        <w:t xml:space="preserve"> to ideas that </w:t>
      </w:r>
      <w:r w:rsidR="00E244C0" w:rsidRPr="00107181">
        <w:t xml:space="preserve">optimism bias is rooted in </w:t>
      </w:r>
      <w:r w:rsidR="0004423D">
        <w:t>agency problems</w:t>
      </w:r>
      <w:r w:rsidR="00E244C0" w:rsidRPr="00107181">
        <w:t xml:space="preserve"> and incompetence. </w:t>
      </w:r>
      <w:r w:rsidR="00B44B37">
        <w:t>To</w:t>
      </w:r>
      <w:r w:rsidR="00B44B37" w:rsidRPr="00107181">
        <w:t xml:space="preserve"> </w:t>
      </w:r>
      <w:r w:rsidR="0089373F" w:rsidRPr="00107181">
        <w:t>be clear</w:t>
      </w:r>
      <w:r w:rsidR="00B44B37">
        <w:t xml:space="preserve">: </w:t>
      </w:r>
      <w:r w:rsidR="00E244C0" w:rsidRPr="00107181">
        <w:t xml:space="preserve">We </w:t>
      </w:r>
      <w:r w:rsidR="00B44B37">
        <w:t>do</w:t>
      </w:r>
      <w:r w:rsidR="00B44B37" w:rsidRPr="00107181">
        <w:t xml:space="preserve"> </w:t>
      </w:r>
      <w:r w:rsidR="00E244C0" w:rsidRPr="00107181">
        <w:t>not rul</w:t>
      </w:r>
      <w:r w:rsidR="0089373F" w:rsidRPr="00107181">
        <w:t>e</w:t>
      </w:r>
      <w:r w:rsidR="00E244C0" w:rsidRPr="00107181">
        <w:t xml:space="preserve"> out these </w:t>
      </w:r>
      <w:r w:rsidR="00B44B37">
        <w:t xml:space="preserve">additional </w:t>
      </w:r>
      <w:r w:rsidR="00E244C0" w:rsidRPr="00107181">
        <w:t xml:space="preserve">explanations </w:t>
      </w:r>
      <w:r w:rsidR="00B44B37">
        <w:t>for</w:t>
      </w:r>
      <w:r w:rsidR="00E244C0" w:rsidRPr="00107181">
        <w:t xml:space="preserve"> underperformance</w:t>
      </w:r>
      <w:r w:rsidR="00E100AD">
        <w:t>;</w:t>
      </w:r>
      <w:r w:rsidR="00B44B37">
        <w:t xml:space="preserve"> b</w:t>
      </w:r>
      <w:r w:rsidR="00E244C0" w:rsidRPr="00107181">
        <w:t>ut equally, we should not</w:t>
      </w:r>
      <w:r w:rsidR="002A2E1C">
        <w:t xml:space="preserve"> ignore that building consensus is a </w:t>
      </w:r>
      <w:r w:rsidR="00107181">
        <w:t>‘</w:t>
      </w:r>
      <w:r w:rsidR="002A2E1C">
        <w:t>struggle</w:t>
      </w:r>
      <w:r w:rsidR="00107181">
        <w:t xml:space="preserve">’ </w:t>
      </w:r>
      <w:r w:rsidR="00DB3068" w:rsidRPr="00107181">
        <w:t>particularly when the organization is highly interdependent with the environment</w:t>
      </w:r>
      <w:r w:rsidR="00DD5D7F">
        <w:t xml:space="preserve"> (Dietz et al. 2003)</w:t>
      </w:r>
      <w:r w:rsidR="00DB3068" w:rsidRPr="00107181">
        <w:t>.</w:t>
      </w:r>
      <w:r w:rsidR="00107181">
        <w:t xml:space="preserve"> </w:t>
      </w:r>
      <w:r w:rsidR="002A2E1C" w:rsidRPr="00390B67">
        <w:t>Under these circumstances</w:t>
      </w:r>
      <w:r w:rsidR="002A2E1C">
        <w:t>,</w:t>
      </w:r>
      <w:r w:rsidR="008A6FFD" w:rsidRPr="008A6FFD">
        <w:t xml:space="preserve"> </w:t>
      </w:r>
      <w:r w:rsidR="008A6FFD">
        <w:t xml:space="preserve">a </w:t>
      </w:r>
      <w:r w:rsidR="00E244C0" w:rsidRPr="00107181">
        <w:t xml:space="preserve">good dose of optimism is </w:t>
      </w:r>
      <w:r w:rsidR="00B44B37">
        <w:t>a necessary precondition</w:t>
      </w:r>
      <w:r w:rsidR="00B44B37" w:rsidRPr="00107181">
        <w:t xml:space="preserve"> </w:t>
      </w:r>
      <w:r w:rsidR="00E244C0" w:rsidRPr="00107181">
        <w:t>to believ</w:t>
      </w:r>
      <w:r w:rsidR="00B44B37">
        <w:t>ing that</w:t>
      </w:r>
      <w:r w:rsidR="00E244C0" w:rsidRPr="00107181">
        <w:t xml:space="preserve"> capital-intensive goals are achievable</w:t>
      </w:r>
      <w:r w:rsidR="00B44B37">
        <w:t>; that is,</w:t>
      </w:r>
      <w:r w:rsidR="002A2E1C" w:rsidRPr="00A2510F">
        <w:t xml:space="preserve"> </w:t>
      </w:r>
      <w:r w:rsidR="00DB3068" w:rsidRPr="00107181">
        <w:t>the promoter’s optimism bias is both</w:t>
      </w:r>
      <w:r w:rsidR="00DB3068" w:rsidRPr="00390B67">
        <w:t xml:space="preserve"> a blessing and a curse.</w:t>
      </w:r>
    </w:p>
    <w:p w14:paraId="288FAE53" w14:textId="3F4CB3F1" w:rsidR="006F178D" w:rsidRDefault="006F178D" w:rsidP="006F178D">
      <w:r w:rsidRPr="008A6FFD">
        <w:t xml:space="preserve">Importantly, our </w:t>
      </w:r>
      <w:r w:rsidR="00DD5D7F">
        <w:t>work</w:t>
      </w:r>
      <w:r w:rsidR="00DD5D7F" w:rsidRPr="008A6FFD">
        <w:t xml:space="preserve"> </w:t>
      </w:r>
      <w:r w:rsidRPr="008A6FFD">
        <w:t>only illuminates</w:t>
      </w:r>
      <w:r w:rsidR="0089373F">
        <w:t xml:space="preserve"> the</w:t>
      </w:r>
      <w:r w:rsidR="0004423D">
        <w:t xml:space="preserve"> performance impact </w:t>
      </w:r>
      <w:r w:rsidR="0089373F">
        <w:t xml:space="preserve">of the </w:t>
      </w:r>
      <w:r w:rsidRPr="008A6FFD">
        <w:t xml:space="preserve">arrangements designed to mandate interactions for exchanging and mobilizing resources in pursuit of collective goals (Gulati </w:t>
      </w:r>
      <w:r w:rsidR="005D239C">
        <w:t>and</w:t>
      </w:r>
      <w:r w:rsidRPr="008A6FFD">
        <w:t xml:space="preserve"> </w:t>
      </w:r>
      <w:proofErr w:type="spellStart"/>
      <w:r w:rsidRPr="008A6FFD">
        <w:t>Puranam</w:t>
      </w:r>
      <w:proofErr w:type="spellEnd"/>
      <w:r w:rsidRPr="008A6FFD">
        <w:t xml:space="preserve"> 2009). As such</w:t>
      </w:r>
      <w:r w:rsidR="00B44B37">
        <w:t>,</w:t>
      </w:r>
      <w:r w:rsidR="005D239C">
        <w:t xml:space="preserve"> </w:t>
      </w:r>
      <w:r w:rsidR="00B44B37">
        <w:t>this study</w:t>
      </w:r>
      <w:r w:rsidRPr="008A6FFD">
        <w:t xml:space="preserve"> is agnostic about how informal social structure</w:t>
      </w:r>
      <w:r w:rsidR="0092106D">
        <w:t xml:space="preserve"> a</w:t>
      </w:r>
      <w:r w:rsidR="0092106D" w:rsidRPr="008A6FFD">
        <w:t>ffect</w:t>
      </w:r>
      <w:r w:rsidR="0092106D">
        <w:t>s</w:t>
      </w:r>
      <w:r w:rsidRPr="008A6FFD">
        <w:t xml:space="preserve"> the relationship between organization and performance</w:t>
      </w:r>
      <w:r w:rsidR="00E244C0" w:rsidRPr="008A6FFD">
        <w:t xml:space="preserve">; we </w:t>
      </w:r>
      <w:r w:rsidR="00B44B37">
        <w:t xml:space="preserve">also </w:t>
      </w:r>
      <w:r w:rsidR="00E244C0" w:rsidRPr="008A6FFD">
        <w:t xml:space="preserve">cannot </w:t>
      </w:r>
      <w:r w:rsidR="00107181">
        <w:t>shed light on</w:t>
      </w:r>
      <w:r w:rsidR="00107181" w:rsidRPr="008A6FFD">
        <w:t xml:space="preserve"> </w:t>
      </w:r>
      <w:r w:rsidRPr="008A6FFD">
        <w:t>the influence of emergent interactions</w:t>
      </w:r>
      <w:r w:rsidR="0092106D">
        <w:t>,</w:t>
      </w:r>
      <w:r w:rsidR="0092106D" w:rsidRPr="0092106D">
        <w:t xml:space="preserve"> </w:t>
      </w:r>
      <w:r w:rsidR="0092106D">
        <w:t>negotiation tactics,</w:t>
      </w:r>
      <w:r w:rsidRPr="008A6FFD">
        <w:t xml:space="preserve"> and patterns of individual behaviour</w:t>
      </w:r>
      <w:r w:rsidR="005D239C">
        <w:t xml:space="preserve"> and </w:t>
      </w:r>
      <w:r w:rsidR="00DD5D7F">
        <w:t xml:space="preserve">the </w:t>
      </w:r>
      <w:r w:rsidRPr="008A6FFD">
        <w:t>norms</w:t>
      </w:r>
      <w:r w:rsidR="00E244C0" w:rsidRPr="008A6FFD">
        <w:t>,</w:t>
      </w:r>
      <w:r w:rsidRPr="008A6FFD">
        <w:t xml:space="preserve"> beliefs, and values underl</w:t>
      </w:r>
      <w:r w:rsidR="005D239C">
        <w:t>ying</w:t>
      </w:r>
      <w:r w:rsidRPr="008A6FFD">
        <w:t xml:space="preserve"> such </w:t>
      </w:r>
      <w:r w:rsidR="000016D1" w:rsidRPr="008A6FFD">
        <w:t>interactions</w:t>
      </w:r>
      <w:r w:rsidR="000016D1">
        <w:t>, tactics,</w:t>
      </w:r>
      <w:r w:rsidRPr="008A6FFD">
        <w:t xml:space="preserve"> and</w:t>
      </w:r>
      <w:r w:rsidR="000016D1" w:rsidRPr="000016D1">
        <w:t xml:space="preserve"> </w:t>
      </w:r>
      <w:r w:rsidR="000016D1" w:rsidRPr="008A6FFD">
        <w:t>behaviours</w:t>
      </w:r>
      <w:r w:rsidRPr="008A6FFD">
        <w:t>. We agree</w:t>
      </w:r>
      <w:r w:rsidR="00E244C0" w:rsidRPr="008A6FFD">
        <w:t>, however, that</w:t>
      </w:r>
      <w:r w:rsidRPr="008A6FFD">
        <w:t xml:space="preserve"> </w:t>
      </w:r>
      <w:r w:rsidR="00E244C0" w:rsidRPr="008A6FFD">
        <w:t xml:space="preserve">explanations of performance should </w:t>
      </w:r>
      <w:r w:rsidRPr="008A6FFD">
        <w:t>aim at combining formal and informal elements</w:t>
      </w:r>
      <w:r w:rsidR="0089373F" w:rsidRPr="0089373F">
        <w:t xml:space="preserve"> </w:t>
      </w:r>
      <w:r w:rsidR="0089373F">
        <w:t>since u</w:t>
      </w:r>
      <w:r w:rsidR="0089373F" w:rsidRPr="00F27FAD">
        <w:t xml:space="preserve">nderlying </w:t>
      </w:r>
      <w:r w:rsidR="00107181">
        <w:t>designed</w:t>
      </w:r>
      <w:r w:rsidR="00107181" w:rsidRPr="00F27FAD">
        <w:t xml:space="preserve"> </w:t>
      </w:r>
      <w:r w:rsidR="005D239C">
        <w:t xml:space="preserve">structures </w:t>
      </w:r>
      <w:r w:rsidR="0089373F" w:rsidRPr="00F27FAD">
        <w:t xml:space="preserve">are actions carried on by </w:t>
      </w:r>
      <w:r w:rsidR="0089373F" w:rsidRPr="00F27FAD">
        <w:lastRenderedPageBreak/>
        <w:t>individuals</w:t>
      </w:r>
      <w:r w:rsidRPr="008A6FFD">
        <w:t xml:space="preserve"> (Van de </w:t>
      </w:r>
      <w:proofErr w:type="spellStart"/>
      <w:r w:rsidRPr="008A6FFD">
        <w:t>Ven</w:t>
      </w:r>
      <w:proofErr w:type="spellEnd"/>
      <w:r w:rsidRPr="008A6FFD">
        <w:t xml:space="preserve"> </w:t>
      </w:r>
      <w:r w:rsidR="00DB3068">
        <w:t xml:space="preserve">et al. </w:t>
      </w:r>
      <w:r w:rsidRPr="008A6FFD">
        <w:t>2013, Simon 1947).</w:t>
      </w:r>
      <w:r w:rsidR="00E244C0" w:rsidRPr="008A6FFD">
        <w:t xml:space="preserve"> </w:t>
      </w:r>
      <w:r w:rsidR="00DD5D7F">
        <w:t>Nevertheless,</w:t>
      </w:r>
      <w:r w:rsidR="00DB3068" w:rsidRPr="00DB3068">
        <w:t xml:space="preserve"> </w:t>
      </w:r>
      <w:r w:rsidR="00B44B37">
        <w:t>as our study suggests,</w:t>
      </w:r>
      <w:r w:rsidR="00DD5D7F">
        <w:t xml:space="preserve"> reaching</w:t>
      </w:r>
      <w:r w:rsidRPr="008A6FFD">
        <w:t xml:space="preserve"> this </w:t>
      </w:r>
      <w:r w:rsidR="00DD5D7F">
        <w:t>goal requires nuanced understanding of the structure</w:t>
      </w:r>
      <w:r w:rsidR="00DD5D7F" w:rsidRPr="00DD5D7F">
        <w:t xml:space="preserve"> </w:t>
      </w:r>
      <w:r w:rsidR="00DD5D7F">
        <w:t xml:space="preserve">of the problem. </w:t>
      </w:r>
    </w:p>
    <w:p w14:paraId="3A552027" w14:textId="7C9FFC10" w:rsidR="00DB3068" w:rsidRPr="00390B67" w:rsidRDefault="00DB3068" w:rsidP="00DB3068">
      <w:r w:rsidRPr="00390B67">
        <w:t>Still</w:t>
      </w:r>
      <w:r w:rsidR="00B44B37">
        <w:t>.</w:t>
      </w:r>
      <w:r w:rsidRPr="00390B67">
        <w:t xml:space="preserve"> </w:t>
      </w:r>
      <w:proofErr w:type="gramStart"/>
      <w:r w:rsidR="00555127">
        <w:t>three</w:t>
      </w:r>
      <w:proofErr w:type="gramEnd"/>
      <w:r w:rsidR="00555127">
        <w:t xml:space="preserve"> boundary conditions are in order when assessing</w:t>
      </w:r>
      <w:r w:rsidR="000016D1">
        <w:t xml:space="preserve"> how far our</w:t>
      </w:r>
      <w:r w:rsidR="0092106D">
        <w:t xml:space="preserve"> </w:t>
      </w:r>
      <w:r w:rsidR="000016D1">
        <w:t>insights</w:t>
      </w:r>
      <w:r w:rsidR="000016D1" w:rsidRPr="00390B67">
        <w:t xml:space="preserve"> </w:t>
      </w:r>
      <w:r w:rsidR="000016D1">
        <w:t>might be generalizable.</w:t>
      </w:r>
      <w:r w:rsidRPr="00DB3068">
        <w:t xml:space="preserve"> </w:t>
      </w:r>
      <w:r w:rsidRPr="00390B67">
        <w:t xml:space="preserve">First, infrastructure projects are socially complex but not so technologically complex that </w:t>
      </w:r>
      <w:r>
        <w:t>planning</w:t>
      </w:r>
      <w:r w:rsidRPr="00390B67">
        <w:t xml:space="preserve"> choices cannot be comprehended by multiple actors</w:t>
      </w:r>
      <w:r>
        <w:t xml:space="preserve"> in the environment</w:t>
      </w:r>
      <w:r w:rsidRPr="00390B67">
        <w:t xml:space="preserve">. The capability to discern what is at stake </w:t>
      </w:r>
      <w:r>
        <w:t>encourages these actors</w:t>
      </w:r>
      <w:r w:rsidRPr="00390B67">
        <w:t xml:space="preserve"> to </w:t>
      </w:r>
      <w:r>
        <w:t>claim</w:t>
      </w:r>
      <w:r w:rsidR="0004423D">
        <w:t xml:space="preserve"> decision</w:t>
      </w:r>
      <w:r>
        <w:t xml:space="preserve"> rights</w:t>
      </w:r>
      <w:r w:rsidRPr="00390B67">
        <w:t>. In contrast, in technologically complex settings such as aeronautical</w:t>
      </w:r>
      <w:r w:rsidR="00555127">
        <w:t xml:space="preserve"> product development</w:t>
      </w:r>
      <w:r>
        <w:t xml:space="preserve"> (</w:t>
      </w:r>
      <w:proofErr w:type="spellStart"/>
      <w:r>
        <w:t>Brusoni</w:t>
      </w:r>
      <w:proofErr w:type="spellEnd"/>
      <w:r>
        <w:t xml:space="preserve"> et al. 2001</w:t>
      </w:r>
      <w:r w:rsidRPr="00390B67">
        <w:t>) and science (Tue</w:t>
      </w:r>
      <w:r w:rsidR="00957B6C">
        <w:t>r</w:t>
      </w:r>
      <w:r w:rsidRPr="00390B67">
        <w:t>t</w:t>
      </w:r>
      <w:r w:rsidR="00957B6C">
        <w:t>s</w:t>
      </w:r>
      <w:r w:rsidRPr="00390B67">
        <w:t>cher et</w:t>
      </w:r>
      <w:r>
        <w:t xml:space="preserve"> al. 2014</w:t>
      </w:r>
      <w:r w:rsidRPr="00390B67">
        <w:t>)</w:t>
      </w:r>
      <w:r w:rsidR="00555127">
        <w:t>,</w:t>
      </w:r>
      <w:r w:rsidRPr="00390B67">
        <w:t xml:space="preserve"> </w:t>
      </w:r>
      <w:r w:rsidR="0092106D">
        <w:t xml:space="preserve">the understanding of what is at stake is </w:t>
      </w:r>
      <w:r w:rsidRPr="00390B67">
        <w:t xml:space="preserve">restricted to subject-matter experts. This </w:t>
      </w:r>
      <w:r w:rsidR="00CE56EF">
        <w:t xml:space="preserve">circumstance </w:t>
      </w:r>
      <w:r w:rsidRPr="00390B67">
        <w:t xml:space="preserve">enables </w:t>
      </w:r>
      <w:r w:rsidR="00CE56EF">
        <w:t xml:space="preserve">theorists </w:t>
      </w:r>
      <w:r w:rsidRPr="00390B67">
        <w:t>to reconcile pluralism with meritocracy-based authority</w:t>
      </w:r>
      <w:r w:rsidR="0004423D">
        <w:t>,</w:t>
      </w:r>
      <w:r w:rsidR="00107181">
        <w:t xml:space="preserve"> which</w:t>
      </w:r>
      <w:r w:rsidRPr="00390B67">
        <w:t xml:space="preserve"> </w:t>
      </w:r>
      <w:r>
        <w:t>creat</w:t>
      </w:r>
      <w:r w:rsidR="00107181">
        <w:t>es</w:t>
      </w:r>
      <w:r>
        <w:t xml:space="preserve"> a </w:t>
      </w:r>
      <w:r w:rsidRPr="00390B67">
        <w:t>different</w:t>
      </w:r>
      <w:r w:rsidR="00E100AD">
        <w:t xml:space="preserve"> class of </w:t>
      </w:r>
      <w:r w:rsidR="00DD5D7F">
        <w:t xml:space="preserve">capital-intensive </w:t>
      </w:r>
      <w:r w:rsidR="001759AA">
        <w:t xml:space="preserve">project </w:t>
      </w:r>
      <w:r w:rsidR="00E100AD">
        <w:t>management problems</w:t>
      </w:r>
      <w:r w:rsidRPr="00390B67">
        <w:t>.</w:t>
      </w:r>
    </w:p>
    <w:p w14:paraId="6EBF4125" w14:textId="67C61818" w:rsidR="00DB3068" w:rsidRPr="00390B67" w:rsidRDefault="00DB3068" w:rsidP="00DB3068">
      <w:r w:rsidRPr="00390B67">
        <w:t xml:space="preserve">Second, </w:t>
      </w:r>
      <w:r w:rsidR="00207885">
        <w:t xml:space="preserve">planning choices for </w:t>
      </w:r>
      <w:r w:rsidRPr="00390B67">
        <w:t xml:space="preserve">large infrastructure projects </w:t>
      </w:r>
      <w:r w:rsidR="00207885">
        <w:t>are hard to reverse once approved, and impact the</w:t>
      </w:r>
      <w:r w:rsidRPr="00390B67">
        <w:t xml:space="preserve"> property rights</w:t>
      </w:r>
      <w:r w:rsidR="00207885">
        <w:t xml:space="preserve"> of multiple actors</w:t>
      </w:r>
      <w:r w:rsidRPr="00390B67">
        <w:t>. Hence</w:t>
      </w:r>
      <w:r w:rsidR="00CE56EF">
        <w:t>,</w:t>
      </w:r>
      <w:r w:rsidRPr="00390B67">
        <w:t xml:space="preserve"> </w:t>
      </w:r>
      <w:r w:rsidR="00207885">
        <w:t>planning</w:t>
      </w:r>
      <w:r w:rsidRPr="00390B67">
        <w:t xml:space="preserve"> choices</w:t>
      </w:r>
      <w:r w:rsidR="00207885">
        <w:t xml:space="preserve"> </w:t>
      </w:r>
      <w:r w:rsidRPr="00390B67">
        <w:t>are</w:t>
      </w:r>
      <w:r w:rsidR="00207885">
        <w:t>, perforce, controversial</w:t>
      </w:r>
      <w:r w:rsidR="00E100AD">
        <w:t>. However,</w:t>
      </w:r>
      <w:r w:rsidR="00CE56EF">
        <w:t xml:space="preserve"> </w:t>
      </w:r>
      <w:r w:rsidR="00207885">
        <w:t>not all capital-intensive projects impact</w:t>
      </w:r>
      <w:r w:rsidR="00207885" w:rsidRPr="00390B67">
        <w:t xml:space="preserve"> property rights </w:t>
      </w:r>
      <w:r w:rsidR="00CE56EF">
        <w:t>or</w:t>
      </w:r>
      <w:r w:rsidR="00207885">
        <w:t xml:space="preserve"> unfold under contentious </w:t>
      </w:r>
      <w:r w:rsidR="0092106D">
        <w:t>system-</w:t>
      </w:r>
      <w:r w:rsidR="00207885">
        <w:t xml:space="preserve">goals. </w:t>
      </w:r>
      <w:r w:rsidRPr="00390B67">
        <w:t xml:space="preserve">In the response to </w:t>
      </w:r>
      <w:r>
        <w:t>the Columbia space</w:t>
      </w:r>
      <w:r w:rsidRPr="00390B67">
        <w:t xml:space="preserve"> shuttle disaster (</w:t>
      </w:r>
      <w:r>
        <w:t xml:space="preserve">Beck and </w:t>
      </w:r>
      <w:proofErr w:type="spellStart"/>
      <w:r>
        <w:t>Plowman</w:t>
      </w:r>
      <w:proofErr w:type="spellEnd"/>
      <w:r>
        <w:t xml:space="preserve"> </w:t>
      </w:r>
      <w:r w:rsidRPr="00963765">
        <w:t>2014</w:t>
      </w:r>
      <w:r w:rsidRPr="00390B67">
        <w:t xml:space="preserve">), for example, </w:t>
      </w:r>
      <w:r w:rsidR="0092106D">
        <w:t xml:space="preserve">a benign system </w:t>
      </w:r>
      <w:r w:rsidRPr="00390B67">
        <w:t xml:space="preserve">goal enabled </w:t>
      </w:r>
      <w:r w:rsidR="00207885">
        <w:t>cooperation</w:t>
      </w:r>
      <w:r w:rsidRPr="00390B67">
        <w:t xml:space="preserve"> and a sense of collective identity to flourish</w:t>
      </w:r>
      <w:r w:rsidR="00207885">
        <w:t xml:space="preserve"> rapidly</w:t>
      </w:r>
      <w:r>
        <w:t xml:space="preserve"> </w:t>
      </w:r>
      <w:r w:rsidRPr="00390B67">
        <w:t xml:space="preserve">between dissimilar actors who had never worked together. </w:t>
      </w:r>
      <w:r w:rsidR="0092106D">
        <w:t xml:space="preserve">This </w:t>
      </w:r>
      <w:r w:rsidR="00CE56EF">
        <w:t xml:space="preserve">circumstance </w:t>
      </w:r>
      <w:r w:rsidR="0092106D">
        <w:t xml:space="preserve">suggests that the </w:t>
      </w:r>
      <w:r w:rsidR="00207885">
        <w:t>quality of the</w:t>
      </w:r>
      <w:r w:rsidR="00E100AD">
        <w:t xml:space="preserve"> system</w:t>
      </w:r>
      <w:r w:rsidR="00207885">
        <w:t xml:space="preserve"> goal is a</w:t>
      </w:r>
      <w:r w:rsidR="000016D1">
        <w:t>nother</w:t>
      </w:r>
      <w:r w:rsidR="00207885">
        <w:t xml:space="preserve"> boundary condition that merits further investigation. </w:t>
      </w:r>
      <w:r w:rsidRPr="00390B67">
        <w:t xml:space="preserve"> </w:t>
      </w:r>
    </w:p>
    <w:p w14:paraId="265023B4" w14:textId="2095F803" w:rsidR="0092106D" w:rsidRDefault="00D55536" w:rsidP="00DF168B">
      <w:r>
        <w:t>Finally,</w:t>
      </w:r>
      <w:r w:rsidR="00DB3068" w:rsidRPr="00390B67">
        <w:t xml:space="preserve"> our study is grounded in the UK</w:t>
      </w:r>
      <w:r w:rsidR="00671FB9">
        <w:t xml:space="preserve"> context</w:t>
      </w:r>
      <w:r w:rsidR="00E100AD">
        <w:t>, an institutional setting</w:t>
      </w:r>
      <w:r w:rsidR="0004423D">
        <w:t xml:space="preserve"> </w:t>
      </w:r>
      <w:r>
        <w:t xml:space="preserve">that </w:t>
      </w:r>
      <w:r w:rsidR="0092106D">
        <w:t xml:space="preserve">encouraged polycentric organizing; </w:t>
      </w:r>
      <w:r w:rsidR="00E872D2">
        <w:rPr>
          <w:lang w:val="en-US"/>
        </w:rPr>
        <w:t>umpires and slack</w:t>
      </w:r>
      <w:r w:rsidR="00E100AD">
        <w:rPr>
          <w:lang w:val="en-US"/>
        </w:rPr>
        <w:t xml:space="preserve"> resources</w:t>
      </w:r>
      <w:r w:rsidR="00E872D2">
        <w:rPr>
          <w:lang w:val="en-US"/>
        </w:rPr>
        <w:t xml:space="preserve"> are </w:t>
      </w:r>
      <w:r w:rsidR="0092106D">
        <w:rPr>
          <w:lang w:val="en-US"/>
        </w:rPr>
        <w:t xml:space="preserve">also </w:t>
      </w:r>
      <w:r w:rsidR="00671FB9">
        <w:rPr>
          <w:lang w:val="en-US"/>
        </w:rPr>
        <w:t xml:space="preserve">designed </w:t>
      </w:r>
      <w:r w:rsidR="000016D1">
        <w:rPr>
          <w:lang w:val="en-US"/>
        </w:rPr>
        <w:t xml:space="preserve">arrangements </w:t>
      </w:r>
      <w:r w:rsidR="00E872D2">
        <w:rPr>
          <w:lang w:val="en-US"/>
        </w:rPr>
        <w:t>rooted in UK policy</w:t>
      </w:r>
      <w:r w:rsidR="00DB3068" w:rsidRPr="00390B67">
        <w:t xml:space="preserve">. </w:t>
      </w:r>
      <w:r>
        <w:t>However,</w:t>
      </w:r>
      <w:r w:rsidR="00DB3068" w:rsidRPr="00390B67">
        <w:t xml:space="preserve"> t</w:t>
      </w:r>
      <w:r w:rsidR="00E872D2">
        <w:t>hese</w:t>
      </w:r>
      <w:r w:rsidR="00E100AD">
        <w:t xml:space="preserve"> attributes of the context</w:t>
      </w:r>
      <w:r w:rsidR="00686B90">
        <w:t xml:space="preserve"> </w:t>
      </w:r>
      <w:r w:rsidR="00E872D2">
        <w:t xml:space="preserve">are </w:t>
      </w:r>
      <w:r w:rsidR="00686B90">
        <w:t>not</w:t>
      </w:r>
      <w:r w:rsidR="00E872D2">
        <w:t xml:space="preserve"> universal. </w:t>
      </w:r>
      <w:r>
        <w:t>Likewise, t</w:t>
      </w:r>
      <w:r w:rsidR="00E872D2">
        <w:t xml:space="preserve">he observed emphasis on </w:t>
      </w:r>
      <w:r w:rsidR="00107181">
        <w:t xml:space="preserve">underpinning planning choice on </w:t>
      </w:r>
      <w:r w:rsidR="000016D1">
        <w:t xml:space="preserve">formal </w:t>
      </w:r>
      <w:r w:rsidR="00957B6C">
        <w:t>cost-benefit analysis</w:t>
      </w:r>
      <w:r w:rsidR="00E872D2">
        <w:t xml:space="preserve"> </w:t>
      </w:r>
      <w:r w:rsidR="000016D1">
        <w:t>i</w:t>
      </w:r>
      <w:r w:rsidR="00107181">
        <w:t>tself is</w:t>
      </w:r>
      <w:r w:rsidR="00E872D2">
        <w:t xml:space="preserve"> also not universal. As </w:t>
      </w:r>
      <w:r w:rsidR="00671FB9">
        <w:t xml:space="preserve">Porter (1995) </w:t>
      </w:r>
      <w:r w:rsidR="00E872D2">
        <w:t>notes,</w:t>
      </w:r>
      <w:r w:rsidR="00DB3068" w:rsidRPr="00390B67">
        <w:t xml:space="preserve"> </w:t>
      </w:r>
      <w:r w:rsidR="00DB3068">
        <w:t>intimate</w:t>
      </w:r>
      <w:r w:rsidR="00DB3068" w:rsidRPr="00390B67">
        <w:t xml:space="preserve"> social networks </w:t>
      </w:r>
      <w:r w:rsidR="00DB3068">
        <w:t>among elites</w:t>
      </w:r>
      <w:r w:rsidR="00E872D2">
        <w:t xml:space="preserve"> in some countries</w:t>
      </w:r>
      <w:r w:rsidR="00DB3068" w:rsidRPr="00390B67">
        <w:t xml:space="preserve"> </w:t>
      </w:r>
      <w:r w:rsidR="00DB3068">
        <w:t>allow for</w:t>
      </w:r>
      <w:r w:rsidR="00DB3068" w:rsidRPr="00390B67">
        <w:t xml:space="preserve"> </w:t>
      </w:r>
      <w:r w:rsidR="00671FB9">
        <w:t xml:space="preserve">much </w:t>
      </w:r>
      <w:r w:rsidR="00DB3068">
        <w:t>more informal decision-</w:t>
      </w:r>
      <w:r w:rsidR="00DB3068">
        <w:lastRenderedPageBreak/>
        <w:t>making processes</w:t>
      </w:r>
      <w:r w:rsidR="00DB3068" w:rsidRPr="00390B67">
        <w:t xml:space="preserve"> under pluralism</w:t>
      </w:r>
      <w:r w:rsidR="00DB3068">
        <w:t xml:space="preserve">. </w:t>
      </w:r>
      <w:r w:rsidR="0092106D">
        <w:t>Hence</w:t>
      </w:r>
      <w:r>
        <w:t>,</w:t>
      </w:r>
      <w:r w:rsidR="0092106D">
        <w:t xml:space="preserve"> caution is </w:t>
      </w:r>
      <w:r w:rsidR="00107181">
        <w:t>needed before</w:t>
      </w:r>
      <w:r w:rsidR="00671FB9">
        <w:t xml:space="preserve"> extending our insights </w:t>
      </w:r>
      <w:r w:rsidR="0092106D">
        <w:t xml:space="preserve">to fundamentally </w:t>
      </w:r>
      <w:r w:rsidR="00671FB9">
        <w:t>different</w:t>
      </w:r>
      <w:r w:rsidR="0092106D">
        <w:t xml:space="preserve"> institutional</w:t>
      </w:r>
      <w:r w:rsidR="00671FB9">
        <w:t xml:space="preserve"> contexts. </w:t>
      </w:r>
    </w:p>
    <w:p w14:paraId="21D427FB" w14:textId="3D998FCA" w:rsidR="00753CFD" w:rsidRDefault="004812C7" w:rsidP="00107181">
      <w:r w:rsidRPr="008D7E3E">
        <w:t xml:space="preserve">Limitations notwithstanding, our study </w:t>
      </w:r>
      <w:r w:rsidR="00D55536">
        <w:t>offers some</w:t>
      </w:r>
      <w:r w:rsidRPr="008D7E3E">
        <w:t xml:space="preserve"> important implications </w:t>
      </w:r>
      <w:r>
        <w:t>for</w:t>
      </w:r>
      <w:r w:rsidRPr="008D7E3E">
        <w:t xml:space="preserve"> policy. The regular</w:t>
      </w:r>
      <w:r>
        <w:t xml:space="preserve"> </w:t>
      </w:r>
      <w:r w:rsidRPr="008D7E3E">
        <w:t xml:space="preserve">occurrence of scope creep and overruns has dogged the reputation of </w:t>
      </w:r>
      <w:r w:rsidR="00671FB9">
        <w:t>capital-intensive</w:t>
      </w:r>
      <w:r w:rsidRPr="008D7E3E">
        <w:t xml:space="preserve"> projects</w:t>
      </w:r>
      <w:r w:rsidR="00EA685F">
        <w:t xml:space="preserve"> and </w:t>
      </w:r>
      <w:r w:rsidR="00D55536">
        <w:t xml:space="preserve">their </w:t>
      </w:r>
      <w:r w:rsidR="00E100AD">
        <w:t>promoter</w:t>
      </w:r>
      <w:r w:rsidR="00D55536">
        <w:t>s</w:t>
      </w:r>
      <w:r w:rsidR="00EA685F">
        <w:t xml:space="preserve">. Implicitly </w:t>
      </w:r>
      <w:r w:rsidR="00D55536">
        <w:t xml:space="preserve">rooted </w:t>
      </w:r>
      <w:r w:rsidR="000016D1">
        <w:t>here</w:t>
      </w:r>
      <w:r w:rsidR="00EA685F">
        <w:t xml:space="preserve"> is the </w:t>
      </w:r>
      <w:r w:rsidR="000016D1">
        <w:t xml:space="preserve">assumption </w:t>
      </w:r>
      <w:r w:rsidR="00EA685F">
        <w:t xml:space="preserve">that promoters have </w:t>
      </w:r>
      <w:r w:rsidR="000016D1">
        <w:t xml:space="preserve">centralised </w:t>
      </w:r>
      <w:r w:rsidR="00D55536">
        <w:t xml:space="preserve">(final) </w:t>
      </w:r>
      <w:r w:rsidR="00EA685F">
        <w:t>authority and thus</w:t>
      </w:r>
      <w:r w:rsidR="00D55536">
        <w:t>,</w:t>
      </w:r>
      <w:r w:rsidR="00EA685F">
        <w:t xml:space="preserve"> if projects overrun</w:t>
      </w:r>
      <w:r w:rsidR="001759AA">
        <w:t>,</w:t>
      </w:r>
      <w:r w:rsidR="00EA685F">
        <w:t xml:space="preserve"> it </w:t>
      </w:r>
      <w:r w:rsidR="00D55536">
        <w:t>must be</w:t>
      </w:r>
      <w:r w:rsidR="00EA685F">
        <w:t xml:space="preserve"> the promoter’s fault. This </w:t>
      </w:r>
      <w:r w:rsidR="000016D1">
        <w:t xml:space="preserve">conception has </w:t>
      </w:r>
      <w:r w:rsidR="00EA685F">
        <w:t>fuelled ideas that promoters are not to be trusted</w:t>
      </w:r>
      <w:r w:rsidR="000016D1">
        <w:t>,</w:t>
      </w:r>
      <w:r w:rsidR="00EA685F">
        <w:t xml:space="preserve"> </w:t>
      </w:r>
      <w:r w:rsidR="00D55536">
        <w:t>maintain secret agendas</w:t>
      </w:r>
      <w:r w:rsidR="001B0ECC">
        <w:t xml:space="preserve">, and are loath to divulge “real” cost data, all of </w:t>
      </w:r>
      <w:r w:rsidR="00EA685F">
        <w:t>which inf</w:t>
      </w:r>
      <w:r w:rsidR="001B0ECC">
        <w:t>luence</w:t>
      </w:r>
      <w:r w:rsidR="00EA685F">
        <w:t xml:space="preserve"> policy</w:t>
      </w:r>
      <w:r w:rsidR="00753CFD">
        <w:t xml:space="preserve"> </w:t>
      </w:r>
      <w:r w:rsidR="001B0ECC">
        <w:t>including</w:t>
      </w:r>
      <w:r w:rsidR="00753CFD">
        <w:t xml:space="preserve"> optimism bias</w:t>
      </w:r>
      <w:r w:rsidR="00686B90">
        <w:t xml:space="preserve"> and </w:t>
      </w:r>
      <w:r w:rsidR="001B0ECC">
        <w:t xml:space="preserve">the use of </w:t>
      </w:r>
      <w:r w:rsidR="00686B90">
        <w:t>umpires</w:t>
      </w:r>
      <w:r w:rsidR="00EA685F">
        <w:t>. Recognizing</w:t>
      </w:r>
      <w:r w:rsidR="00904A32">
        <w:t xml:space="preserve"> that planning choices happen within a polycentric </w:t>
      </w:r>
      <w:r w:rsidR="0004423D">
        <w:t xml:space="preserve">architecture </w:t>
      </w:r>
      <w:r w:rsidR="00686B90">
        <w:t>suggests</w:t>
      </w:r>
      <w:r w:rsidR="00EA685F">
        <w:t xml:space="preserve"> a different direction for policy</w:t>
      </w:r>
      <w:r w:rsidR="001759AA">
        <w:t xml:space="preserve"> making</w:t>
      </w:r>
      <w:r w:rsidR="00EA685F">
        <w:t>.</w:t>
      </w:r>
      <w:r w:rsidRPr="008D7E3E">
        <w:t xml:space="preserve"> </w:t>
      </w:r>
      <w:r w:rsidRPr="00390B67">
        <w:t xml:space="preserve">If </w:t>
      </w:r>
      <w:r w:rsidR="00753CFD">
        <w:t xml:space="preserve">organization design </w:t>
      </w:r>
      <w:r w:rsidR="00753CFD" w:rsidRPr="00390B67">
        <w:t xml:space="preserve">allows for </w:t>
      </w:r>
      <w:r w:rsidR="00686B90">
        <w:t>share</w:t>
      </w:r>
      <w:r w:rsidR="0004423D">
        <w:t>d</w:t>
      </w:r>
      <w:r w:rsidR="00686B90">
        <w:t xml:space="preserve"> decision rights</w:t>
      </w:r>
      <w:r w:rsidR="00753CFD">
        <w:t>,</w:t>
      </w:r>
      <w:r w:rsidRPr="00390B67">
        <w:t xml:space="preserve"> </w:t>
      </w:r>
      <w:r w:rsidR="00EA685F">
        <w:t xml:space="preserve">then policy wants to encourage </w:t>
      </w:r>
      <w:r w:rsidRPr="00390B67">
        <w:t xml:space="preserve">shared accountability for </w:t>
      </w:r>
      <w:r>
        <w:t xml:space="preserve">the </w:t>
      </w:r>
      <w:r w:rsidRPr="00390B67">
        <w:t>outcomes</w:t>
      </w:r>
      <w:r w:rsidR="00EA685F">
        <w:t xml:space="preserve">. </w:t>
      </w:r>
      <w:r w:rsidR="00753CFD">
        <w:t xml:space="preserve">This </w:t>
      </w:r>
      <w:r w:rsidR="001B0ECC">
        <w:t xml:space="preserve">implication </w:t>
      </w:r>
      <w:r w:rsidR="00753CFD">
        <w:t xml:space="preserve">suggests, for example, </w:t>
      </w:r>
      <w:r w:rsidR="001B0ECC">
        <w:t xml:space="preserve">that public </w:t>
      </w:r>
      <w:r w:rsidR="00753CFD">
        <w:t xml:space="preserve">policy could </w:t>
      </w:r>
      <w:r w:rsidR="001B0ECC">
        <w:t xml:space="preserve">require </w:t>
      </w:r>
      <w:r w:rsidR="001759AA">
        <w:t xml:space="preserve">actors who support the system goal </w:t>
      </w:r>
      <w:r w:rsidR="00753CFD">
        <w:t xml:space="preserve">to </w:t>
      </w:r>
      <w:r w:rsidR="00753CFD" w:rsidRPr="00753CFD">
        <w:t xml:space="preserve">accept </w:t>
      </w:r>
      <w:r w:rsidR="00753CFD" w:rsidRPr="00107181">
        <w:t xml:space="preserve">private arbitration </w:t>
      </w:r>
      <w:r w:rsidR="00753CFD" w:rsidRPr="00753CFD">
        <w:t>to resolve disputes, freeing</w:t>
      </w:r>
      <w:r w:rsidR="00753CFD" w:rsidRPr="00107181">
        <w:t xml:space="preserve"> the time of umpires</w:t>
      </w:r>
      <w:r w:rsidR="00EA685F" w:rsidRPr="00107181">
        <w:t xml:space="preserve"> </w:t>
      </w:r>
      <w:r w:rsidR="008A6FFD" w:rsidRPr="00753CFD">
        <w:t xml:space="preserve">to resolve </w:t>
      </w:r>
      <w:r w:rsidR="001B0ECC">
        <w:t xml:space="preserve">other </w:t>
      </w:r>
      <w:r w:rsidR="008A6FFD" w:rsidRPr="00753CFD">
        <w:t>dispute</w:t>
      </w:r>
      <w:r w:rsidR="001B0ECC">
        <w:t xml:space="preserve"> set</w:t>
      </w:r>
      <w:r w:rsidR="008A6FFD" w:rsidRPr="00753CFD">
        <w:t>s</w:t>
      </w:r>
      <w:r w:rsidR="008A6FFD">
        <w:t xml:space="preserve"> with actors</w:t>
      </w:r>
      <w:r w:rsidR="00107181">
        <w:t xml:space="preserve"> which had not been</w:t>
      </w:r>
      <w:r w:rsidR="008A6FFD">
        <w:t xml:space="preserve"> co-opted into the project. </w:t>
      </w:r>
      <w:r w:rsidR="00753CFD">
        <w:t>W</w:t>
      </w:r>
      <w:r w:rsidR="001B0ECC">
        <w:t xml:space="preserve">hile only </w:t>
      </w:r>
      <w:r w:rsidR="00753CFD">
        <w:t>conjecture</w:t>
      </w:r>
      <w:r w:rsidR="001B0ECC">
        <w:t>, we would expect</w:t>
      </w:r>
      <w:r w:rsidR="00753CFD">
        <w:t xml:space="preserve"> </w:t>
      </w:r>
      <w:r w:rsidR="00107181">
        <w:t xml:space="preserve">that </w:t>
      </w:r>
      <w:r w:rsidR="00753CFD">
        <w:t>private arbitration</w:t>
      </w:r>
      <w:r w:rsidR="008A6FFD">
        <w:t xml:space="preserve"> </w:t>
      </w:r>
      <w:r w:rsidR="00753CFD">
        <w:t>could</w:t>
      </w:r>
      <w:r w:rsidR="008A6FFD">
        <w:t xml:space="preserve"> make the </w:t>
      </w:r>
      <w:r w:rsidR="00EA685F">
        <w:t>project organization less in</w:t>
      </w:r>
      <w:r w:rsidR="008A6FFD">
        <w:t>terdependent from the environment, reduc</w:t>
      </w:r>
      <w:r w:rsidR="001B0ECC">
        <w:t>ing</w:t>
      </w:r>
      <w:r w:rsidR="008A6FFD">
        <w:t xml:space="preserve"> uncertainty. This</w:t>
      </w:r>
      <w:r w:rsidR="00753CFD">
        <w:t>,</w:t>
      </w:r>
      <w:r w:rsidR="008A6FFD">
        <w:t xml:space="preserve"> in turn</w:t>
      </w:r>
      <w:r w:rsidR="00753CFD">
        <w:t>,</w:t>
      </w:r>
      <w:r w:rsidR="008A6FFD">
        <w:t xml:space="preserve"> would enable </w:t>
      </w:r>
      <w:r w:rsidR="001B0ECC">
        <w:t xml:space="preserve">public and private organizations </w:t>
      </w:r>
      <w:r w:rsidR="008A6FFD">
        <w:t xml:space="preserve">to reduce </w:t>
      </w:r>
      <w:r w:rsidR="000A5EF7">
        <w:t xml:space="preserve">their reliance on </w:t>
      </w:r>
      <w:r w:rsidR="008A6FFD">
        <w:t xml:space="preserve">slack resources and mitigate the risk of </w:t>
      </w:r>
      <w:r w:rsidR="00107181">
        <w:t>inefficient and opportunistic use of resources</w:t>
      </w:r>
      <w:r w:rsidR="008A6FFD">
        <w:t xml:space="preserve">. </w:t>
      </w:r>
    </w:p>
    <w:p w14:paraId="06578782" w14:textId="419FAC5A" w:rsidR="00DF168B" w:rsidRDefault="004812C7" w:rsidP="00107181">
      <w:r w:rsidRPr="00390B67">
        <w:t xml:space="preserve">In </w:t>
      </w:r>
      <w:r w:rsidR="00753CFD">
        <w:t>conclusion</w:t>
      </w:r>
      <w:r w:rsidRPr="00390B67">
        <w:t xml:space="preserve">, </w:t>
      </w:r>
      <w:r w:rsidR="00753CFD">
        <w:t>this study see</w:t>
      </w:r>
      <w:r w:rsidR="000016D1">
        <w:t>s</w:t>
      </w:r>
      <w:r w:rsidR="00753CFD">
        <w:t xml:space="preserve"> capital-intensive project organisations as </w:t>
      </w:r>
      <w:r w:rsidR="002A2E1C">
        <w:t xml:space="preserve">forms of </w:t>
      </w:r>
      <w:r w:rsidR="00753CFD">
        <w:t xml:space="preserve">polycentric </w:t>
      </w:r>
      <w:r w:rsidR="000016D1">
        <w:t>organizing under pluralism</w:t>
      </w:r>
      <w:r w:rsidR="00753CFD">
        <w:t>. It also reveals fundamentally different classes of problems within this broad population of organization</w:t>
      </w:r>
      <w:r w:rsidR="002A2E1C">
        <w:t>s</w:t>
      </w:r>
      <w:r w:rsidR="00753CFD">
        <w:t xml:space="preserve">. These insights do not make these organizations </w:t>
      </w:r>
      <w:r w:rsidR="00753CFD" w:rsidRPr="00390B67">
        <w:t>less complex or suggests simple solutions</w:t>
      </w:r>
      <w:r w:rsidR="000A5EF7">
        <w:t>, b</w:t>
      </w:r>
      <w:r w:rsidRPr="00390B67">
        <w:t xml:space="preserve">ut </w:t>
      </w:r>
      <w:r w:rsidR="002A2E1C">
        <w:t>they</w:t>
      </w:r>
      <w:r w:rsidR="002A2E1C" w:rsidRPr="00390B67">
        <w:t xml:space="preserve"> </w:t>
      </w:r>
      <w:r w:rsidR="002A2E1C">
        <w:t>illuminate</w:t>
      </w:r>
      <w:r w:rsidR="00753CFD">
        <w:t xml:space="preserve"> the structure of the </w:t>
      </w:r>
      <w:r w:rsidR="002A2E1C">
        <w:t>management problems</w:t>
      </w:r>
      <w:r w:rsidR="00753CFD">
        <w:t xml:space="preserve"> and</w:t>
      </w:r>
      <w:r w:rsidR="002A2E1C">
        <w:t xml:space="preserve"> help</w:t>
      </w:r>
      <w:r w:rsidRPr="00390B67">
        <w:t xml:space="preserve"> move </w:t>
      </w:r>
      <w:r w:rsidR="00753CFD">
        <w:t>forward the</w:t>
      </w:r>
      <w:r w:rsidR="002A2E1C">
        <w:t xml:space="preserve"> performance</w:t>
      </w:r>
      <w:r w:rsidRPr="00390B67">
        <w:t xml:space="preserve"> debate</w:t>
      </w:r>
      <w:r w:rsidR="002A2E1C">
        <w:t>.</w:t>
      </w:r>
    </w:p>
    <w:p w14:paraId="0E08D299" w14:textId="1A922705" w:rsidR="005C5935" w:rsidRPr="00390B67" w:rsidRDefault="004812C7" w:rsidP="00107181">
      <w:pPr>
        <w:spacing w:line="240" w:lineRule="auto"/>
        <w:ind w:firstLine="0"/>
      </w:pPr>
      <w:r w:rsidRPr="008D7E3E" w:rsidDel="004812C7">
        <w:t xml:space="preserve"> </w:t>
      </w:r>
      <w:r w:rsidR="005C5935" w:rsidRPr="00390B67">
        <w:rPr>
          <w:b/>
        </w:rPr>
        <w:t xml:space="preserve">APPENDIX –Summary of </w:t>
      </w:r>
      <w:r w:rsidR="00DE210C" w:rsidRPr="00390B67">
        <w:rPr>
          <w:b/>
        </w:rPr>
        <w:t xml:space="preserve">Sampled </w:t>
      </w:r>
      <w:r w:rsidR="005C5935" w:rsidRPr="00390B67">
        <w:rPr>
          <w:b/>
        </w:rPr>
        <w:t>Projects</w:t>
      </w:r>
      <w:r w:rsidR="00DB5138">
        <w:rPr>
          <w:b/>
        </w:rPr>
        <w:t>:</w:t>
      </w:r>
      <w:r w:rsidR="00F9784F" w:rsidRPr="00390B67">
        <w:rPr>
          <w:b/>
        </w:rPr>
        <w:t xml:space="preserve"> History,</w:t>
      </w:r>
      <w:r w:rsidR="005C5935" w:rsidRPr="00390B67">
        <w:rPr>
          <w:b/>
        </w:rPr>
        <w:t xml:space="preserve"> Context</w:t>
      </w:r>
      <w:r w:rsidR="00DB5138">
        <w:rPr>
          <w:b/>
        </w:rPr>
        <w:t>, and Performance</w:t>
      </w:r>
    </w:p>
    <w:tbl>
      <w:tblPr>
        <w:tblStyle w:val="TableGrid"/>
        <w:tblW w:w="0" w:type="auto"/>
        <w:tblInd w:w="108" w:type="dxa"/>
        <w:tblLook w:val="04A0" w:firstRow="1" w:lastRow="0" w:firstColumn="1" w:lastColumn="0" w:noHBand="0" w:noVBand="1"/>
      </w:tblPr>
      <w:tblGrid>
        <w:gridCol w:w="5670"/>
        <w:gridCol w:w="2835"/>
      </w:tblGrid>
      <w:tr w:rsidR="009F0D22" w:rsidRPr="00390B67" w14:paraId="7667956C" w14:textId="2D7D7FC7" w:rsidTr="00585BCA">
        <w:trPr>
          <w:trHeight w:val="70"/>
        </w:trPr>
        <w:tc>
          <w:tcPr>
            <w:tcW w:w="5670" w:type="dxa"/>
            <w:tcBorders>
              <w:top w:val="single" w:sz="4" w:space="0" w:color="auto"/>
              <w:left w:val="single" w:sz="4" w:space="0" w:color="auto"/>
              <w:bottom w:val="single" w:sz="4" w:space="0" w:color="auto"/>
              <w:right w:val="single" w:sz="4" w:space="0" w:color="auto"/>
            </w:tcBorders>
            <w:vAlign w:val="center"/>
          </w:tcPr>
          <w:p w14:paraId="0383E7FD" w14:textId="156F3AC0" w:rsidR="009F0D22" w:rsidRPr="00390B67" w:rsidRDefault="009F0D22" w:rsidP="00585BCA">
            <w:pPr>
              <w:spacing w:line="276" w:lineRule="auto"/>
              <w:ind w:left="-108" w:right="34" w:firstLine="0"/>
              <w:jc w:val="center"/>
              <w:rPr>
                <w:rFonts w:ascii="Arial" w:hAnsi="Arial" w:cs="Arial"/>
                <w:sz w:val="18"/>
                <w:szCs w:val="20"/>
              </w:rPr>
            </w:pPr>
            <w:r w:rsidRPr="00390B67">
              <w:rPr>
                <w:rFonts w:ascii="Arial" w:hAnsi="Arial" w:cs="Arial"/>
                <w:b/>
                <w:sz w:val="18"/>
                <w:szCs w:val="20"/>
              </w:rPr>
              <w:t>Project History and Context</w:t>
            </w:r>
          </w:p>
        </w:tc>
        <w:tc>
          <w:tcPr>
            <w:tcW w:w="2835" w:type="dxa"/>
            <w:tcBorders>
              <w:top w:val="single" w:sz="4" w:space="0" w:color="auto"/>
              <w:left w:val="single" w:sz="4" w:space="0" w:color="auto"/>
              <w:bottom w:val="single" w:sz="4" w:space="0" w:color="auto"/>
              <w:right w:val="single" w:sz="4" w:space="0" w:color="auto"/>
            </w:tcBorders>
          </w:tcPr>
          <w:p w14:paraId="60251775" w14:textId="07C2338C" w:rsidR="009F0D22" w:rsidRPr="00390B67" w:rsidRDefault="009F0D22" w:rsidP="00585BCA">
            <w:pPr>
              <w:spacing w:line="276" w:lineRule="auto"/>
              <w:ind w:left="-108" w:right="-108" w:firstLine="0"/>
              <w:jc w:val="center"/>
              <w:rPr>
                <w:rFonts w:ascii="Arial" w:hAnsi="Arial" w:cs="Arial"/>
                <w:sz w:val="18"/>
                <w:szCs w:val="20"/>
              </w:rPr>
            </w:pPr>
            <w:r w:rsidRPr="00390B67">
              <w:rPr>
                <w:rFonts w:ascii="Arial" w:hAnsi="Arial" w:cs="Arial"/>
                <w:b/>
                <w:sz w:val="18"/>
                <w:szCs w:val="20"/>
              </w:rPr>
              <w:t>Summary of Performance</w:t>
            </w:r>
          </w:p>
          <w:p w14:paraId="429BCA56" w14:textId="036D00BE" w:rsidR="009F0D22" w:rsidRPr="00390B67" w:rsidRDefault="009F0D22" w:rsidP="00585BCA">
            <w:pPr>
              <w:spacing w:line="276" w:lineRule="auto"/>
              <w:ind w:left="-108" w:right="-108" w:firstLine="0"/>
              <w:jc w:val="center"/>
              <w:rPr>
                <w:rFonts w:ascii="Arial" w:hAnsi="Arial" w:cs="Arial"/>
                <w:b/>
                <w:sz w:val="18"/>
                <w:szCs w:val="20"/>
              </w:rPr>
            </w:pPr>
            <w:r w:rsidRPr="00390B67">
              <w:rPr>
                <w:rFonts w:ascii="Arial" w:hAnsi="Arial" w:cs="Arial"/>
                <w:sz w:val="18"/>
                <w:szCs w:val="20"/>
              </w:rPr>
              <w:lastRenderedPageBreak/>
              <w:t>(cash prices unless stated)</w:t>
            </w:r>
          </w:p>
        </w:tc>
      </w:tr>
      <w:tr w:rsidR="009F0D22" w:rsidRPr="00390B67" w14:paraId="1AF41DCB" w14:textId="77777777" w:rsidTr="00585BCA">
        <w:trPr>
          <w:trHeight w:val="132"/>
        </w:trPr>
        <w:tc>
          <w:tcPr>
            <w:tcW w:w="5670" w:type="dxa"/>
            <w:vMerge w:val="restart"/>
            <w:tcBorders>
              <w:top w:val="single" w:sz="4" w:space="0" w:color="auto"/>
            </w:tcBorders>
          </w:tcPr>
          <w:p w14:paraId="15388C6C" w14:textId="47517462" w:rsidR="009F0D22" w:rsidRPr="00390B67" w:rsidRDefault="009F0D22" w:rsidP="00585BCA">
            <w:pPr>
              <w:spacing w:line="276" w:lineRule="auto"/>
              <w:ind w:left="-108" w:firstLine="0"/>
              <w:rPr>
                <w:rFonts w:ascii="Arial" w:hAnsi="Arial" w:cs="Arial"/>
                <w:b/>
                <w:sz w:val="18"/>
                <w:szCs w:val="20"/>
              </w:rPr>
            </w:pPr>
            <w:r w:rsidRPr="00390B67">
              <w:rPr>
                <w:rFonts w:ascii="Arial" w:hAnsi="Arial" w:cs="Arial"/>
                <w:b/>
                <w:sz w:val="18"/>
                <w:szCs w:val="20"/>
              </w:rPr>
              <w:lastRenderedPageBreak/>
              <w:t>Crossrail:</w:t>
            </w:r>
            <w:r w:rsidRPr="00390B67">
              <w:rPr>
                <w:rFonts w:ascii="Arial" w:hAnsi="Arial" w:cs="Arial"/>
                <w:sz w:val="18"/>
                <w:szCs w:val="20"/>
                <w:u w:val="single"/>
              </w:rPr>
              <w:t xml:space="preserve"> </w:t>
            </w:r>
            <w:r w:rsidR="00732E3D">
              <w:rPr>
                <w:rFonts w:ascii="Arial" w:hAnsi="Arial" w:cs="Arial"/>
                <w:sz w:val="18"/>
                <w:szCs w:val="20"/>
                <w:u w:val="single"/>
              </w:rPr>
              <w:t>Main P</w:t>
            </w:r>
            <w:r w:rsidR="00F43699">
              <w:rPr>
                <w:rFonts w:ascii="Arial" w:hAnsi="Arial" w:cs="Arial"/>
                <w:sz w:val="18"/>
                <w:szCs w:val="20"/>
                <w:u w:val="single"/>
              </w:rPr>
              <w:t>lanning</w:t>
            </w:r>
            <w:r w:rsidR="00732E3D">
              <w:rPr>
                <w:rFonts w:ascii="Arial" w:hAnsi="Arial" w:cs="Arial"/>
                <w:sz w:val="18"/>
                <w:szCs w:val="20"/>
                <w:u w:val="single"/>
              </w:rPr>
              <w:t xml:space="preserve"> Effort:</w:t>
            </w:r>
            <w:r w:rsidRPr="00390B67">
              <w:rPr>
                <w:rFonts w:ascii="Arial" w:hAnsi="Arial" w:cs="Arial"/>
                <w:sz w:val="18"/>
                <w:szCs w:val="20"/>
              </w:rPr>
              <w:t xml:space="preserve"> occurs between 2001 and 2008. </w:t>
            </w:r>
            <w:r w:rsidRPr="00390B67">
              <w:rPr>
                <w:rFonts w:ascii="Arial" w:hAnsi="Arial" w:cs="Arial"/>
                <w:sz w:val="18"/>
                <w:szCs w:val="20"/>
                <w:u w:val="single"/>
              </w:rPr>
              <w:t>Prior  History</w:t>
            </w:r>
            <w:r w:rsidRPr="00390B67">
              <w:rPr>
                <w:rFonts w:ascii="Arial" w:hAnsi="Arial" w:cs="Arial"/>
                <w:sz w:val="18"/>
                <w:szCs w:val="20"/>
              </w:rPr>
              <w:t xml:space="preserve">: The idea of building a cross-London railway first gained momentum in the seventies but the UK government dropped the plan after a few years because of cost concerns; the idea was reignited in the nineties but </w:t>
            </w:r>
            <w:r w:rsidR="00F43699">
              <w:rPr>
                <w:rFonts w:ascii="Arial" w:hAnsi="Arial" w:cs="Arial"/>
                <w:sz w:val="18"/>
                <w:szCs w:val="20"/>
              </w:rPr>
              <w:t>planning</w:t>
            </w:r>
            <w:r w:rsidRPr="00390B67">
              <w:rPr>
                <w:rFonts w:ascii="Arial" w:hAnsi="Arial" w:cs="Arial"/>
                <w:sz w:val="18"/>
                <w:szCs w:val="20"/>
              </w:rPr>
              <w:t xml:space="preserve"> again unravelled after five years</w:t>
            </w:r>
            <w:r w:rsidR="003132B3">
              <w:rPr>
                <w:rFonts w:ascii="Arial" w:hAnsi="Arial" w:cs="Arial"/>
                <w:sz w:val="18"/>
                <w:szCs w:val="20"/>
              </w:rPr>
              <w:t xml:space="preserve"> due to cost-benefit concerns</w:t>
            </w:r>
            <w:r w:rsidRPr="00390B67">
              <w:rPr>
                <w:rFonts w:ascii="Arial" w:hAnsi="Arial" w:cs="Arial"/>
                <w:sz w:val="18"/>
                <w:szCs w:val="20"/>
              </w:rPr>
              <w:t xml:space="preserve">. The start of the third attempt happened in 2001 when the UK and London governments formed a coalition to promote the scheme. </w:t>
            </w:r>
            <w:r w:rsidRPr="00390B67">
              <w:rPr>
                <w:rFonts w:ascii="Arial" w:hAnsi="Arial" w:cs="Arial"/>
                <w:sz w:val="18"/>
                <w:szCs w:val="20"/>
                <w:u w:val="single"/>
              </w:rPr>
              <w:t>Performance baseline</w:t>
            </w:r>
            <w:r w:rsidRPr="00390B67">
              <w:rPr>
                <w:rFonts w:ascii="Arial" w:hAnsi="Arial" w:cs="Arial"/>
                <w:sz w:val="18"/>
                <w:szCs w:val="20"/>
              </w:rPr>
              <w:t xml:space="preserve">: during </w:t>
            </w:r>
            <w:r w:rsidR="00F43699">
              <w:rPr>
                <w:rFonts w:ascii="Arial" w:hAnsi="Arial" w:cs="Arial"/>
                <w:sz w:val="18"/>
                <w:szCs w:val="20"/>
              </w:rPr>
              <w:t>planning</w:t>
            </w:r>
            <w:r w:rsidR="003132B3">
              <w:rPr>
                <w:rFonts w:ascii="Arial" w:hAnsi="Arial" w:cs="Arial"/>
                <w:sz w:val="18"/>
                <w:szCs w:val="20"/>
              </w:rPr>
              <w:t xml:space="preserve"> talks</w:t>
            </w:r>
            <w:r w:rsidR="00F43699">
              <w:rPr>
                <w:rFonts w:ascii="Arial" w:hAnsi="Arial" w:cs="Arial"/>
                <w:sz w:val="18"/>
                <w:szCs w:val="20"/>
              </w:rPr>
              <w:t>,</w:t>
            </w:r>
            <w:r w:rsidR="00923848">
              <w:rPr>
                <w:rFonts w:ascii="Arial" w:hAnsi="Arial" w:cs="Arial"/>
                <w:sz w:val="18"/>
                <w:szCs w:val="20"/>
              </w:rPr>
              <w:t xml:space="preserve"> </w:t>
            </w:r>
            <w:r w:rsidRPr="00390B67">
              <w:rPr>
                <w:rFonts w:ascii="Arial" w:hAnsi="Arial" w:cs="Arial"/>
                <w:sz w:val="18"/>
                <w:szCs w:val="20"/>
              </w:rPr>
              <w:t xml:space="preserve">the goal evolved from a 9km </w:t>
            </w:r>
            <w:r w:rsidR="005B69C0" w:rsidRPr="00390B67">
              <w:rPr>
                <w:rFonts w:ascii="Arial" w:hAnsi="Arial" w:cs="Arial"/>
                <w:sz w:val="18"/>
                <w:szCs w:val="20"/>
              </w:rPr>
              <w:t xml:space="preserve">central </w:t>
            </w:r>
            <w:r w:rsidRPr="00390B67">
              <w:rPr>
                <w:rFonts w:ascii="Arial" w:hAnsi="Arial" w:cs="Arial"/>
                <w:sz w:val="18"/>
                <w:szCs w:val="20"/>
              </w:rPr>
              <w:t>London train to open by 2012 into a 118km high-capacity commuters’ train to open by 2017; the cost</w:t>
            </w:r>
            <w:r w:rsidR="005B69C0" w:rsidRPr="00390B67">
              <w:rPr>
                <w:rFonts w:ascii="Arial" w:hAnsi="Arial" w:cs="Arial"/>
                <w:sz w:val="18"/>
                <w:szCs w:val="20"/>
              </w:rPr>
              <w:t xml:space="preserve"> and schedule</w:t>
            </w:r>
            <w:r w:rsidRPr="00390B67">
              <w:rPr>
                <w:rFonts w:ascii="Arial" w:hAnsi="Arial" w:cs="Arial"/>
                <w:sz w:val="18"/>
                <w:szCs w:val="20"/>
              </w:rPr>
              <w:t xml:space="preserve"> target</w:t>
            </w:r>
            <w:r w:rsidR="005B69C0" w:rsidRPr="00390B67">
              <w:rPr>
                <w:rFonts w:ascii="Arial" w:hAnsi="Arial" w:cs="Arial"/>
                <w:sz w:val="18"/>
                <w:szCs w:val="20"/>
              </w:rPr>
              <w:t>s</w:t>
            </w:r>
            <w:r w:rsidRPr="00390B67">
              <w:rPr>
                <w:rFonts w:ascii="Arial" w:hAnsi="Arial" w:cs="Arial"/>
                <w:sz w:val="18"/>
                <w:szCs w:val="20"/>
              </w:rPr>
              <w:t xml:space="preserve"> evolved commensurately. </w:t>
            </w:r>
            <w:r w:rsidRPr="00390B67">
              <w:rPr>
                <w:rFonts w:ascii="Arial" w:hAnsi="Arial" w:cs="Arial"/>
                <w:sz w:val="18"/>
                <w:szCs w:val="20"/>
                <w:u w:val="single"/>
              </w:rPr>
              <w:t>Context:</w:t>
            </w:r>
            <w:r w:rsidRPr="00390B67">
              <w:rPr>
                <w:rFonts w:ascii="Arial" w:hAnsi="Arial" w:cs="Arial"/>
                <w:sz w:val="18"/>
                <w:szCs w:val="20"/>
              </w:rPr>
              <w:t xml:space="preserve"> </w:t>
            </w:r>
            <w:r w:rsidR="00732E3D">
              <w:rPr>
                <w:rFonts w:ascii="Arial" w:hAnsi="Arial" w:cs="Arial"/>
                <w:sz w:val="18"/>
                <w:szCs w:val="20"/>
              </w:rPr>
              <w:t>Construction</w:t>
            </w:r>
            <w:r w:rsidRPr="00390B67">
              <w:rPr>
                <w:rFonts w:ascii="Arial" w:hAnsi="Arial" w:cs="Arial"/>
                <w:sz w:val="18"/>
                <w:szCs w:val="20"/>
              </w:rPr>
              <w:t xml:space="preserve"> could not start before the promoter acquired from </w:t>
            </w:r>
            <w:r w:rsidR="005B69C0" w:rsidRPr="00390B67">
              <w:rPr>
                <w:rFonts w:ascii="Arial" w:hAnsi="Arial" w:cs="Arial"/>
                <w:sz w:val="18"/>
                <w:szCs w:val="20"/>
              </w:rPr>
              <w:t xml:space="preserve">the </w:t>
            </w:r>
            <w:r w:rsidRPr="00390B67">
              <w:rPr>
                <w:rFonts w:ascii="Arial" w:hAnsi="Arial" w:cs="Arial"/>
                <w:sz w:val="18"/>
                <w:szCs w:val="20"/>
              </w:rPr>
              <w:t xml:space="preserve">Parliament the power to force land sales. </w:t>
            </w:r>
            <w:r w:rsidR="00F43699">
              <w:rPr>
                <w:rFonts w:ascii="Arial" w:hAnsi="Arial" w:cs="Arial"/>
                <w:sz w:val="18"/>
                <w:szCs w:val="20"/>
              </w:rPr>
              <w:t>P</w:t>
            </w:r>
            <w:r w:rsidR="005B69C0" w:rsidRPr="00390B67">
              <w:rPr>
                <w:rFonts w:ascii="Arial" w:hAnsi="Arial" w:cs="Arial"/>
                <w:sz w:val="18"/>
                <w:szCs w:val="20"/>
              </w:rPr>
              <w:t>lanning</w:t>
            </w:r>
            <w:r w:rsidRPr="00390B67">
              <w:rPr>
                <w:rFonts w:ascii="Arial" w:hAnsi="Arial" w:cs="Arial"/>
                <w:sz w:val="18"/>
                <w:szCs w:val="20"/>
              </w:rPr>
              <w:t xml:space="preserve"> unfolded under pressure to submit a proposal to</w:t>
            </w:r>
            <w:r w:rsidR="00F43699">
              <w:rPr>
                <w:rFonts w:ascii="Arial" w:hAnsi="Arial" w:cs="Arial"/>
                <w:sz w:val="18"/>
                <w:szCs w:val="20"/>
              </w:rPr>
              <w:t xml:space="preserve"> </w:t>
            </w:r>
            <w:r w:rsidRPr="00390B67">
              <w:rPr>
                <w:rFonts w:ascii="Arial" w:hAnsi="Arial" w:cs="Arial"/>
                <w:sz w:val="18"/>
                <w:szCs w:val="20"/>
              </w:rPr>
              <w:t>Parliament before the 2005 elections; in 2008</w:t>
            </w:r>
            <w:r w:rsidR="00F43699">
              <w:rPr>
                <w:rFonts w:ascii="Arial" w:hAnsi="Arial" w:cs="Arial"/>
                <w:sz w:val="18"/>
                <w:szCs w:val="20"/>
              </w:rPr>
              <w:t xml:space="preserve"> Parliament gave the UK government </w:t>
            </w:r>
            <w:r w:rsidRPr="00390B67">
              <w:rPr>
                <w:rFonts w:ascii="Arial" w:hAnsi="Arial" w:cs="Arial"/>
                <w:sz w:val="18"/>
                <w:szCs w:val="20"/>
              </w:rPr>
              <w:t>authorization to proceed.</w:t>
            </w:r>
          </w:p>
        </w:tc>
        <w:tc>
          <w:tcPr>
            <w:tcW w:w="2835" w:type="dxa"/>
            <w:tcBorders>
              <w:top w:val="single" w:sz="4" w:space="0" w:color="auto"/>
            </w:tcBorders>
          </w:tcPr>
          <w:p w14:paraId="4DACB0D1" w14:textId="472E1DB0" w:rsidR="009F0D22" w:rsidRPr="00390B67" w:rsidRDefault="00DB5138" w:rsidP="00585BCA">
            <w:pPr>
              <w:spacing w:line="276" w:lineRule="auto"/>
              <w:ind w:left="-108" w:right="-108" w:firstLine="0"/>
              <w:jc w:val="left"/>
              <w:rPr>
                <w:rFonts w:ascii="Arial" w:hAnsi="Arial" w:cs="Arial"/>
                <w:sz w:val="18"/>
                <w:szCs w:val="20"/>
              </w:rPr>
            </w:pPr>
            <w:r>
              <w:rPr>
                <w:rFonts w:ascii="Arial" w:hAnsi="Arial" w:cs="Arial"/>
                <w:b/>
                <w:sz w:val="18"/>
                <w:szCs w:val="20"/>
              </w:rPr>
              <w:t>C</w:t>
            </w:r>
            <w:r w:rsidR="009F0D22" w:rsidRPr="00390B67">
              <w:rPr>
                <w:rFonts w:ascii="Arial" w:hAnsi="Arial" w:cs="Arial"/>
                <w:b/>
                <w:sz w:val="18"/>
                <w:szCs w:val="20"/>
              </w:rPr>
              <w:t xml:space="preserve">ost </w:t>
            </w:r>
            <w:r>
              <w:rPr>
                <w:rFonts w:ascii="Arial" w:hAnsi="Arial" w:cs="Arial"/>
                <w:b/>
                <w:sz w:val="18"/>
                <w:szCs w:val="20"/>
              </w:rPr>
              <w:t>evolution</w:t>
            </w:r>
          </w:p>
          <w:p w14:paraId="75082DAB" w14:textId="6B93846B" w:rsidR="009F0D22" w:rsidRPr="00390B67" w:rsidRDefault="009F0D22" w:rsidP="00585BCA">
            <w:pPr>
              <w:spacing w:line="240" w:lineRule="auto"/>
              <w:ind w:left="-108" w:right="-108" w:firstLine="0"/>
              <w:jc w:val="left"/>
              <w:rPr>
                <w:rStyle w:val="SubtleReference"/>
                <w:rFonts w:ascii="Arial" w:hAnsi="Arial" w:cs="Arial"/>
                <w:szCs w:val="20"/>
              </w:rPr>
            </w:pPr>
            <w:r w:rsidRPr="00390B67">
              <w:rPr>
                <w:rStyle w:val="SubtleReference"/>
                <w:rFonts w:ascii="Arial" w:hAnsi="Arial" w:cs="Arial"/>
                <w:szCs w:val="20"/>
              </w:rPr>
              <w:t>200</w:t>
            </w:r>
            <w:r w:rsidR="00262713">
              <w:rPr>
                <w:rStyle w:val="SubtleReference"/>
                <w:rFonts w:ascii="Arial" w:hAnsi="Arial" w:cs="Arial"/>
                <w:szCs w:val="20"/>
              </w:rPr>
              <w:t>1</w:t>
            </w:r>
            <w:r w:rsidRPr="00390B67">
              <w:rPr>
                <w:rStyle w:val="SubtleReference"/>
                <w:rFonts w:ascii="Arial" w:hAnsi="Arial" w:cs="Arial"/>
                <w:szCs w:val="20"/>
              </w:rPr>
              <w:t xml:space="preserve">, ~£4.7bn </w:t>
            </w:r>
          </w:p>
          <w:p w14:paraId="55CD00F7" w14:textId="77777777" w:rsidR="009F0D22" w:rsidRPr="00390B67" w:rsidRDefault="009F0D22" w:rsidP="00585BCA">
            <w:pPr>
              <w:spacing w:line="240" w:lineRule="auto"/>
              <w:ind w:left="-108" w:right="-108" w:firstLine="0"/>
              <w:jc w:val="left"/>
              <w:rPr>
                <w:rStyle w:val="SubtleReference"/>
                <w:rFonts w:ascii="Arial" w:hAnsi="Arial" w:cs="Arial"/>
                <w:szCs w:val="20"/>
              </w:rPr>
            </w:pPr>
            <w:r w:rsidRPr="00390B67">
              <w:rPr>
                <w:rStyle w:val="SubtleReference"/>
                <w:rFonts w:ascii="Arial" w:hAnsi="Arial" w:cs="Arial"/>
                <w:szCs w:val="20"/>
              </w:rPr>
              <w:t xml:space="preserve">2003, ~ £9.8bn </w:t>
            </w:r>
          </w:p>
          <w:p w14:paraId="34AAE9B5" w14:textId="77777777" w:rsidR="009F0D22" w:rsidRPr="00390B67" w:rsidRDefault="009F0D22" w:rsidP="00585BCA">
            <w:pPr>
              <w:spacing w:line="240" w:lineRule="auto"/>
              <w:ind w:left="-108" w:right="-108" w:firstLine="0"/>
              <w:jc w:val="left"/>
              <w:rPr>
                <w:rStyle w:val="SubtleReference"/>
                <w:rFonts w:ascii="Arial" w:hAnsi="Arial" w:cs="Arial"/>
                <w:szCs w:val="20"/>
              </w:rPr>
            </w:pPr>
            <w:r w:rsidRPr="00390B67">
              <w:rPr>
                <w:rStyle w:val="SubtleReference"/>
                <w:rFonts w:ascii="Arial" w:hAnsi="Arial" w:cs="Arial"/>
                <w:szCs w:val="20"/>
              </w:rPr>
              <w:t xml:space="preserve">2007/8, ~ £10.9bn </w:t>
            </w:r>
          </w:p>
          <w:p w14:paraId="356FBEB6" w14:textId="450AC9C9" w:rsidR="009F0D22" w:rsidRPr="00390B67" w:rsidRDefault="009F0D22" w:rsidP="00585BCA">
            <w:pPr>
              <w:spacing w:line="276" w:lineRule="auto"/>
              <w:ind w:left="-108" w:right="-108" w:firstLine="0"/>
              <w:rPr>
                <w:rFonts w:ascii="Arial" w:hAnsi="Arial" w:cs="Arial"/>
                <w:b/>
                <w:sz w:val="18"/>
                <w:szCs w:val="20"/>
              </w:rPr>
            </w:pPr>
            <w:r w:rsidRPr="00390B67">
              <w:rPr>
                <w:rStyle w:val="SubtleReference"/>
                <w:rFonts w:ascii="Arial" w:hAnsi="Arial" w:cs="Arial"/>
                <w:szCs w:val="20"/>
              </w:rPr>
              <w:t xml:space="preserve">Final (as of </w:t>
            </w:r>
            <w:r w:rsidR="00F43699" w:rsidRPr="00390B67">
              <w:rPr>
                <w:rStyle w:val="SubtleReference"/>
                <w:rFonts w:ascii="Arial" w:hAnsi="Arial" w:cs="Arial"/>
                <w:szCs w:val="20"/>
              </w:rPr>
              <w:t>201</w:t>
            </w:r>
            <w:r w:rsidR="00F43699">
              <w:rPr>
                <w:rStyle w:val="SubtleReference"/>
                <w:rFonts w:ascii="Arial" w:hAnsi="Arial" w:cs="Arial"/>
                <w:szCs w:val="20"/>
              </w:rPr>
              <w:t>6</w:t>
            </w:r>
            <w:r w:rsidRPr="00390B67">
              <w:rPr>
                <w:rStyle w:val="SubtleReference"/>
                <w:rFonts w:ascii="Arial" w:hAnsi="Arial" w:cs="Arial"/>
                <w:szCs w:val="20"/>
              </w:rPr>
              <w:t>) ~£14</w:t>
            </w:r>
            <w:r w:rsidR="00262713">
              <w:rPr>
                <w:rStyle w:val="SubtleReference"/>
                <w:rFonts w:ascii="Arial" w:hAnsi="Arial" w:cs="Arial"/>
                <w:szCs w:val="20"/>
              </w:rPr>
              <w:t>.0</w:t>
            </w:r>
            <w:r w:rsidRPr="00390B67">
              <w:rPr>
                <w:rStyle w:val="SubtleReference"/>
                <w:rFonts w:ascii="Arial" w:hAnsi="Arial" w:cs="Arial"/>
                <w:szCs w:val="20"/>
              </w:rPr>
              <w:t>bn</w:t>
            </w:r>
          </w:p>
        </w:tc>
      </w:tr>
      <w:tr w:rsidR="009F0D22" w:rsidRPr="00390B67" w14:paraId="38F4FC56" w14:textId="77777777" w:rsidTr="00585BCA">
        <w:trPr>
          <w:trHeight w:val="1208"/>
        </w:trPr>
        <w:tc>
          <w:tcPr>
            <w:tcW w:w="5670" w:type="dxa"/>
            <w:vMerge/>
          </w:tcPr>
          <w:p w14:paraId="3B912B7F" w14:textId="77777777" w:rsidR="009F0D22" w:rsidRPr="00390B67" w:rsidRDefault="009F0D22" w:rsidP="00585BCA">
            <w:pPr>
              <w:spacing w:line="276" w:lineRule="auto"/>
              <w:ind w:left="-108" w:firstLine="0"/>
              <w:rPr>
                <w:rFonts w:ascii="Arial" w:hAnsi="Arial" w:cs="Arial"/>
                <w:b/>
                <w:sz w:val="18"/>
                <w:szCs w:val="20"/>
              </w:rPr>
            </w:pPr>
          </w:p>
        </w:tc>
        <w:tc>
          <w:tcPr>
            <w:tcW w:w="2835" w:type="dxa"/>
          </w:tcPr>
          <w:p w14:paraId="4CBE6A8C" w14:textId="1B62523D" w:rsidR="001337FB" w:rsidRDefault="001337FB" w:rsidP="00585BCA">
            <w:pPr>
              <w:spacing w:line="276" w:lineRule="auto"/>
              <w:ind w:left="-108" w:right="-108" w:firstLine="0"/>
              <w:rPr>
                <w:rFonts w:ascii="Arial" w:hAnsi="Arial" w:cs="Arial"/>
                <w:b/>
                <w:sz w:val="18"/>
                <w:szCs w:val="20"/>
              </w:rPr>
            </w:pPr>
            <w:r w:rsidRPr="00E1571F">
              <w:rPr>
                <w:rFonts w:ascii="Arial" w:hAnsi="Arial" w:cs="Arial"/>
                <w:b/>
                <w:sz w:val="18"/>
                <w:szCs w:val="20"/>
              </w:rPr>
              <w:t xml:space="preserve">Contingency </w:t>
            </w:r>
            <w:r w:rsidR="003132B3">
              <w:rPr>
                <w:rFonts w:ascii="Arial" w:hAnsi="Arial" w:cs="Arial"/>
                <w:b/>
                <w:sz w:val="18"/>
                <w:szCs w:val="20"/>
              </w:rPr>
              <w:t>funds</w:t>
            </w:r>
          </w:p>
          <w:p w14:paraId="5802379A" w14:textId="7A96D105" w:rsidR="009F0D22" w:rsidRPr="00390B67" w:rsidRDefault="009F0D22" w:rsidP="00585BCA">
            <w:pPr>
              <w:spacing w:line="276" w:lineRule="auto"/>
              <w:ind w:left="-108" w:right="-108" w:firstLine="0"/>
              <w:jc w:val="left"/>
              <w:rPr>
                <w:rStyle w:val="SubtleReference"/>
                <w:rFonts w:ascii="Arial" w:eastAsiaTheme="majorEastAsia" w:hAnsi="Arial" w:cs="Arial"/>
                <w:szCs w:val="20"/>
              </w:rPr>
            </w:pPr>
            <w:r w:rsidRPr="00390B67">
              <w:rPr>
                <w:rStyle w:val="SubtleReference"/>
                <w:rFonts w:ascii="Arial" w:hAnsi="Arial" w:cs="Arial"/>
                <w:szCs w:val="20"/>
              </w:rPr>
              <w:t xml:space="preserve">2006/7, ~£5.0bn </w:t>
            </w:r>
          </w:p>
          <w:p w14:paraId="34B2DE2D" w14:textId="5177FA11" w:rsidR="009F0D22" w:rsidRDefault="009F0D22" w:rsidP="00585BCA">
            <w:pPr>
              <w:spacing w:line="276" w:lineRule="auto"/>
              <w:ind w:left="-108" w:right="-108" w:firstLine="0"/>
              <w:jc w:val="left"/>
              <w:rPr>
                <w:rStyle w:val="SubtleReference"/>
                <w:rFonts w:ascii="Arial" w:hAnsi="Arial" w:cs="Arial"/>
                <w:szCs w:val="20"/>
              </w:rPr>
            </w:pPr>
            <w:r w:rsidRPr="00390B67">
              <w:rPr>
                <w:rStyle w:val="SubtleReference"/>
                <w:rFonts w:ascii="Arial" w:hAnsi="Arial" w:cs="Arial"/>
                <w:szCs w:val="20"/>
              </w:rPr>
              <w:t>2010, ~£4.0bn (~ £1</w:t>
            </w:r>
            <w:r w:rsidR="005E19E1">
              <w:rPr>
                <w:rStyle w:val="SubtleReference"/>
                <w:rFonts w:ascii="Arial" w:hAnsi="Arial" w:cs="Arial"/>
                <w:szCs w:val="20"/>
              </w:rPr>
              <w:t>.0</w:t>
            </w:r>
            <w:r w:rsidRPr="00390B67">
              <w:rPr>
                <w:rStyle w:val="SubtleReference"/>
                <w:rFonts w:ascii="Arial" w:hAnsi="Arial" w:cs="Arial"/>
                <w:szCs w:val="20"/>
              </w:rPr>
              <w:t xml:space="preserve">bn </w:t>
            </w:r>
            <w:r w:rsidR="005E19E1">
              <w:rPr>
                <w:rStyle w:val="SubtleReference"/>
                <w:rFonts w:ascii="Arial" w:hAnsi="Arial" w:cs="Arial"/>
                <w:szCs w:val="20"/>
              </w:rPr>
              <w:t>removed</w:t>
            </w:r>
            <w:r w:rsidR="005E19E1" w:rsidRPr="00390B67">
              <w:rPr>
                <w:rStyle w:val="SubtleReference"/>
                <w:rFonts w:ascii="Arial" w:hAnsi="Arial" w:cs="Arial"/>
                <w:szCs w:val="20"/>
              </w:rPr>
              <w:t xml:space="preserve"> </w:t>
            </w:r>
            <w:r w:rsidRPr="00390B67">
              <w:rPr>
                <w:rStyle w:val="SubtleReference"/>
                <w:rFonts w:ascii="Arial" w:hAnsi="Arial" w:cs="Arial"/>
                <w:szCs w:val="20"/>
              </w:rPr>
              <w:t>after financial crisis)</w:t>
            </w:r>
          </w:p>
          <w:p w14:paraId="4B3E8805" w14:textId="4F35B297" w:rsidR="00F43699" w:rsidRPr="00390B67" w:rsidRDefault="00F43699" w:rsidP="003132B3">
            <w:pPr>
              <w:spacing w:line="276" w:lineRule="auto"/>
              <w:ind w:left="-108" w:right="-108" w:firstLine="0"/>
              <w:jc w:val="left"/>
              <w:rPr>
                <w:rFonts w:ascii="Arial" w:hAnsi="Arial" w:cs="Arial"/>
                <w:b/>
                <w:sz w:val="18"/>
                <w:szCs w:val="20"/>
              </w:rPr>
            </w:pPr>
            <w:r>
              <w:rPr>
                <w:rStyle w:val="SubtleReference"/>
                <w:rFonts w:ascii="Arial" w:hAnsi="Arial" w:cs="Arial"/>
                <w:szCs w:val="20"/>
              </w:rPr>
              <w:t>2016</w:t>
            </w:r>
            <w:r w:rsidR="00DB5138">
              <w:rPr>
                <w:rStyle w:val="SubtleReference"/>
                <w:rFonts w:ascii="Arial" w:hAnsi="Arial" w:cs="Arial"/>
                <w:szCs w:val="20"/>
              </w:rPr>
              <w:t>/7</w:t>
            </w:r>
            <w:r>
              <w:rPr>
                <w:rStyle w:val="SubtleReference"/>
                <w:rFonts w:ascii="Arial" w:hAnsi="Arial" w:cs="Arial"/>
                <w:szCs w:val="20"/>
              </w:rPr>
              <w:t xml:space="preserve">, </w:t>
            </w:r>
            <w:r w:rsidR="003132B3">
              <w:rPr>
                <w:rStyle w:val="SubtleReference"/>
                <w:rFonts w:ascii="Arial" w:hAnsi="Arial" w:cs="Arial"/>
                <w:szCs w:val="20"/>
              </w:rPr>
              <w:t xml:space="preserve">no </w:t>
            </w:r>
            <w:r w:rsidR="00732E3D">
              <w:rPr>
                <w:rStyle w:val="SubtleReference"/>
                <w:rFonts w:ascii="Arial" w:hAnsi="Arial" w:cs="Arial"/>
                <w:szCs w:val="20"/>
              </w:rPr>
              <w:t>contingency</w:t>
            </w:r>
            <w:r w:rsidR="003132B3">
              <w:rPr>
                <w:rStyle w:val="SubtleReference"/>
                <w:rFonts w:ascii="Arial" w:hAnsi="Arial" w:cs="Arial"/>
                <w:szCs w:val="20"/>
              </w:rPr>
              <w:t xml:space="preserve"> left</w:t>
            </w:r>
            <w:r w:rsidR="00732E3D">
              <w:rPr>
                <w:rStyle w:val="SubtleReference"/>
                <w:rFonts w:ascii="Arial" w:hAnsi="Arial" w:cs="Arial"/>
                <w:szCs w:val="20"/>
              </w:rPr>
              <w:t xml:space="preserve"> </w:t>
            </w:r>
          </w:p>
        </w:tc>
      </w:tr>
      <w:tr w:rsidR="009F0D22" w:rsidRPr="00390B67" w14:paraId="610100A4" w14:textId="77777777" w:rsidTr="00585BCA">
        <w:trPr>
          <w:trHeight w:val="1006"/>
        </w:trPr>
        <w:tc>
          <w:tcPr>
            <w:tcW w:w="5670" w:type="dxa"/>
            <w:vMerge/>
            <w:tcBorders>
              <w:bottom w:val="double" w:sz="4" w:space="0" w:color="auto"/>
            </w:tcBorders>
          </w:tcPr>
          <w:p w14:paraId="19CD350B" w14:textId="77777777" w:rsidR="009F0D22" w:rsidRPr="00390B67" w:rsidRDefault="009F0D22" w:rsidP="00585BCA">
            <w:pPr>
              <w:spacing w:line="276" w:lineRule="auto"/>
              <w:ind w:left="-108" w:firstLine="0"/>
              <w:rPr>
                <w:rFonts w:ascii="Arial" w:hAnsi="Arial" w:cs="Arial"/>
                <w:b/>
                <w:sz w:val="18"/>
                <w:szCs w:val="20"/>
              </w:rPr>
            </w:pPr>
          </w:p>
        </w:tc>
        <w:tc>
          <w:tcPr>
            <w:tcW w:w="2835" w:type="dxa"/>
            <w:tcBorders>
              <w:bottom w:val="double" w:sz="4" w:space="0" w:color="auto"/>
            </w:tcBorders>
          </w:tcPr>
          <w:p w14:paraId="44E35BAC" w14:textId="61E70DBC" w:rsidR="005E19E1" w:rsidRDefault="005E19E1" w:rsidP="00585BCA">
            <w:pPr>
              <w:spacing w:line="276" w:lineRule="auto"/>
              <w:ind w:left="-108" w:right="-108" w:firstLine="0"/>
              <w:rPr>
                <w:rStyle w:val="SubtleReference"/>
                <w:rFonts w:ascii="Arial" w:hAnsi="Arial" w:cs="Arial"/>
                <w:szCs w:val="20"/>
              </w:rPr>
            </w:pPr>
            <w:r>
              <w:rPr>
                <w:rFonts w:ascii="Arial" w:hAnsi="Arial" w:cs="Arial"/>
                <w:b/>
                <w:sz w:val="18"/>
                <w:szCs w:val="20"/>
              </w:rPr>
              <w:t>Completion</w:t>
            </w:r>
            <w:r w:rsidR="003132B3">
              <w:rPr>
                <w:rFonts w:ascii="Arial" w:hAnsi="Arial" w:cs="Arial"/>
                <w:b/>
                <w:sz w:val="18"/>
                <w:szCs w:val="20"/>
              </w:rPr>
              <w:t xml:space="preserve"> date</w:t>
            </w:r>
            <w:r w:rsidRPr="00390B67">
              <w:rPr>
                <w:rFonts w:ascii="Arial" w:hAnsi="Arial" w:cs="Arial"/>
                <w:b/>
                <w:sz w:val="18"/>
                <w:szCs w:val="20"/>
              </w:rPr>
              <w:t xml:space="preserve"> </w:t>
            </w:r>
            <w:r w:rsidR="00DB5138">
              <w:rPr>
                <w:rFonts w:ascii="Arial" w:hAnsi="Arial" w:cs="Arial"/>
                <w:b/>
                <w:sz w:val="18"/>
                <w:szCs w:val="20"/>
              </w:rPr>
              <w:t>evolution</w:t>
            </w:r>
          </w:p>
          <w:p w14:paraId="4CFD5C7D" w14:textId="4B787D0D" w:rsidR="009F0D22" w:rsidRPr="00390B67" w:rsidRDefault="009F0D22" w:rsidP="00585BCA">
            <w:pPr>
              <w:spacing w:line="240" w:lineRule="auto"/>
              <w:ind w:left="-108" w:right="-108" w:firstLine="0"/>
              <w:rPr>
                <w:rStyle w:val="SubtleReference"/>
                <w:rFonts w:ascii="Arial" w:hAnsi="Arial" w:cs="Arial"/>
                <w:szCs w:val="20"/>
              </w:rPr>
            </w:pPr>
            <w:r w:rsidRPr="00390B67">
              <w:rPr>
                <w:rStyle w:val="SubtleReference"/>
                <w:rFonts w:ascii="Arial" w:hAnsi="Arial" w:cs="Arial"/>
                <w:szCs w:val="20"/>
              </w:rPr>
              <w:t xml:space="preserve">2000, </w:t>
            </w:r>
            <w:r w:rsidR="005E19E1">
              <w:rPr>
                <w:rStyle w:val="SubtleReference"/>
                <w:rFonts w:ascii="Arial" w:hAnsi="Arial" w:cs="Arial"/>
                <w:szCs w:val="20"/>
              </w:rPr>
              <w:t xml:space="preserve">fully </w:t>
            </w:r>
            <w:r w:rsidRPr="00390B67">
              <w:rPr>
                <w:rStyle w:val="SubtleReference"/>
                <w:rFonts w:ascii="Arial" w:hAnsi="Arial" w:cs="Arial"/>
                <w:szCs w:val="20"/>
              </w:rPr>
              <w:t>open in 2012</w:t>
            </w:r>
          </w:p>
          <w:p w14:paraId="2ED21209" w14:textId="68623722" w:rsidR="009F0D22" w:rsidRPr="00390B67" w:rsidRDefault="009F0D22" w:rsidP="00585BCA">
            <w:pPr>
              <w:spacing w:line="240" w:lineRule="auto"/>
              <w:ind w:left="-108" w:right="-108" w:firstLine="0"/>
              <w:rPr>
                <w:rStyle w:val="SubtleReference"/>
                <w:rFonts w:ascii="Arial" w:hAnsi="Arial" w:cs="Arial"/>
                <w:szCs w:val="20"/>
              </w:rPr>
            </w:pPr>
            <w:r w:rsidRPr="00390B67">
              <w:rPr>
                <w:rStyle w:val="SubtleReference"/>
                <w:rFonts w:ascii="Arial" w:hAnsi="Arial" w:cs="Arial"/>
                <w:szCs w:val="20"/>
              </w:rPr>
              <w:t>2003,</w:t>
            </w:r>
            <w:r w:rsidR="005E19E1">
              <w:rPr>
                <w:rStyle w:val="SubtleReference"/>
                <w:rFonts w:ascii="Arial" w:hAnsi="Arial" w:cs="Arial"/>
                <w:szCs w:val="20"/>
              </w:rPr>
              <w:t xml:space="preserve">fully </w:t>
            </w:r>
            <w:r w:rsidRPr="00390B67">
              <w:rPr>
                <w:rStyle w:val="SubtleReference"/>
                <w:rFonts w:ascii="Arial" w:hAnsi="Arial" w:cs="Arial"/>
                <w:szCs w:val="20"/>
              </w:rPr>
              <w:t xml:space="preserve"> open in 2016</w:t>
            </w:r>
          </w:p>
          <w:p w14:paraId="4C0AA8F4" w14:textId="1AEA0445" w:rsidR="009F0D22" w:rsidRPr="00390B67" w:rsidRDefault="009F0D22" w:rsidP="00585BCA">
            <w:pPr>
              <w:spacing w:line="240" w:lineRule="auto"/>
              <w:ind w:left="-108" w:right="-108" w:firstLine="0"/>
              <w:rPr>
                <w:rStyle w:val="SubtleReference"/>
                <w:rFonts w:ascii="Arial" w:hAnsi="Arial" w:cs="Arial"/>
                <w:szCs w:val="20"/>
              </w:rPr>
            </w:pPr>
            <w:r w:rsidRPr="00390B67">
              <w:rPr>
                <w:rStyle w:val="SubtleReference"/>
                <w:rFonts w:ascii="Arial" w:hAnsi="Arial" w:cs="Arial"/>
                <w:szCs w:val="20"/>
              </w:rPr>
              <w:t xml:space="preserve">2008, </w:t>
            </w:r>
            <w:r w:rsidR="005E19E1">
              <w:rPr>
                <w:rStyle w:val="SubtleReference"/>
                <w:rFonts w:ascii="Arial" w:hAnsi="Arial" w:cs="Arial"/>
                <w:szCs w:val="20"/>
              </w:rPr>
              <w:t xml:space="preserve">fully </w:t>
            </w:r>
            <w:r w:rsidRPr="00390B67">
              <w:rPr>
                <w:rStyle w:val="SubtleReference"/>
                <w:rFonts w:ascii="Arial" w:hAnsi="Arial" w:cs="Arial"/>
                <w:szCs w:val="20"/>
              </w:rPr>
              <w:t>open in 2017</w:t>
            </w:r>
          </w:p>
          <w:p w14:paraId="7078AFE6" w14:textId="219C2408" w:rsidR="009F0D22" w:rsidRPr="00390B67" w:rsidRDefault="00F43699" w:rsidP="00585BCA">
            <w:pPr>
              <w:spacing w:line="276" w:lineRule="auto"/>
              <w:ind w:left="-108" w:right="-108" w:firstLine="0"/>
              <w:rPr>
                <w:rFonts w:ascii="Arial" w:hAnsi="Arial" w:cs="Arial"/>
                <w:b/>
                <w:sz w:val="18"/>
                <w:szCs w:val="20"/>
              </w:rPr>
            </w:pPr>
            <w:r w:rsidRPr="00390B67">
              <w:rPr>
                <w:rStyle w:val="SubtleReference"/>
                <w:rFonts w:ascii="Arial" w:hAnsi="Arial" w:cs="Arial"/>
                <w:szCs w:val="20"/>
              </w:rPr>
              <w:t>201</w:t>
            </w:r>
            <w:r>
              <w:rPr>
                <w:rStyle w:val="SubtleReference"/>
                <w:rFonts w:ascii="Arial" w:hAnsi="Arial" w:cs="Arial"/>
                <w:szCs w:val="20"/>
              </w:rPr>
              <w:t>6</w:t>
            </w:r>
            <w:r w:rsidR="009F0D22" w:rsidRPr="00390B67">
              <w:rPr>
                <w:rStyle w:val="SubtleReference"/>
                <w:rFonts w:ascii="Arial" w:hAnsi="Arial" w:cs="Arial"/>
                <w:szCs w:val="20"/>
              </w:rPr>
              <w:t xml:space="preserve">: </w:t>
            </w:r>
            <w:r w:rsidR="005E19E1">
              <w:rPr>
                <w:rStyle w:val="SubtleReference"/>
                <w:rFonts w:ascii="Arial" w:hAnsi="Arial" w:cs="Arial"/>
                <w:szCs w:val="20"/>
              </w:rPr>
              <w:t xml:space="preserve">fully open in </w:t>
            </w:r>
            <w:r w:rsidR="009F0D22" w:rsidRPr="00390B67">
              <w:rPr>
                <w:rStyle w:val="SubtleReference"/>
                <w:rFonts w:ascii="Arial" w:hAnsi="Arial" w:cs="Arial"/>
                <w:szCs w:val="20"/>
              </w:rPr>
              <w:t>2019</w:t>
            </w:r>
            <w:r w:rsidR="00732E3D">
              <w:rPr>
                <w:rStyle w:val="SubtleReference"/>
                <w:rFonts w:ascii="Arial" w:hAnsi="Arial" w:cs="Arial"/>
                <w:szCs w:val="20"/>
              </w:rPr>
              <w:t>/20</w:t>
            </w:r>
          </w:p>
        </w:tc>
      </w:tr>
      <w:tr w:rsidR="005E4327" w:rsidRPr="00390B67" w14:paraId="6188B294" w14:textId="6DAE254C" w:rsidTr="000B6DAB">
        <w:trPr>
          <w:trHeight w:val="537"/>
        </w:trPr>
        <w:tc>
          <w:tcPr>
            <w:tcW w:w="5670" w:type="dxa"/>
            <w:vMerge w:val="restart"/>
            <w:tcBorders>
              <w:top w:val="double" w:sz="4" w:space="0" w:color="auto"/>
            </w:tcBorders>
          </w:tcPr>
          <w:p w14:paraId="7EDC3921" w14:textId="75936F90" w:rsidR="005E4327" w:rsidRPr="00390B67" w:rsidRDefault="005E4327" w:rsidP="003132B3">
            <w:pPr>
              <w:spacing w:line="276" w:lineRule="auto"/>
              <w:ind w:left="-108" w:firstLine="0"/>
              <w:rPr>
                <w:rFonts w:ascii="Arial" w:hAnsi="Arial" w:cs="Arial"/>
                <w:b/>
                <w:sz w:val="18"/>
                <w:szCs w:val="20"/>
              </w:rPr>
            </w:pPr>
            <w:r w:rsidRPr="00390B67">
              <w:rPr>
                <w:rFonts w:ascii="Arial" w:hAnsi="Arial" w:cs="Arial"/>
                <w:b/>
                <w:sz w:val="18"/>
                <w:szCs w:val="20"/>
              </w:rPr>
              <w:t>Olympic park</w:t>
            </w:r>
            <w:r w:rsidR="009F0D22" w:rsidRPr="00390B67">
              <w:rPr>
                <w:rFonts w:ascii="Arial" w:hAnsi="Arial" w:cs="Arial"/>
                <w:b/>
                <w:sz w:val="18"/>
                <w:szCs w:val="20"/>
              </w:rPr>
              <w:t xml:space="preserve">: </w:t>
            </w:r>
            <w:r w:rsidR="00732E3D">
              <w:rPr>
                <w:rFonts w:ascii="Arial" w:hAnsi="Arial" w:cs="Arial"/>
                <w:sz w:val="18"/>
                <w:szCs w:val="20"/>
                <w:u w:val="single"/>
              </w:rPr>
              <w:t>Main</w:t>
            </w:r>
            <w:r w:rsidR="00732E3D" w:rsidRPr="00390B67">
              <w:rPr>
                <w:rFonts w:ascii="Arial" w:hAnsi="Arial" w:cs="Arial"/>
                <w:sz w:val="18"/>
                <w:szCs w:val="20"/>
                <w:u w:val="single"/>
              </w:rPr>
              <w:t xml:space="preserve"> </w:t>
            </w:r>
            <w:r w:rsidR="00F43699">
              <w:rPr>
                <w:rFonts w:ascii="Arial" w:hAnsi="Arial" w:cs="Arial"/>
                <w:sz w:val="18"/>
                <w:szCs w:val="20"/>
                <w:u w:val="single"/>
              </w:rPr>
              <w:t>planning</w:t>
            </w:r>
            <w:r w:rsidR="00732E3D">
              <w:rPr>
                <w:rFonts w:ascii="Arial" w:hAnsi="Arial" w:cs="Arial"/>
                <w:sz w:val="18"/>
                <w:szCs w:val="20"/>
                <w:u w:val="single"/>
              </w:rPr>
              <w:t xml:space="preserve"> effort</w:t>
            </w:r>
            <w:r w:rsidRPr="00390B67">
              <w:rPr>
                <w:rFonts w:ascii="Arial" w:hAnsi="Arial" w:cs="Arial"/>
                <w:sz w:val="18"/>
                <w:szCs w:val="20"/>
                <w:u w:val="single"/>
              </w:rPr>
              <w:t>:</w:t>
            </w:r>
            <w:r w:rsidRPr="00390B67">
              <w:rPr>
                <w:rFonts w:ascii="Arial" w:hAnsi="Arial" w:cs="Arial"/>
                <w:sz w:val="18"/>
                <w:szCs w:val="20"/>
              </w:rPr>
              <w:t xml:space="preserve"> occurs between 200</w:t>
            </w:r>
            <w:r w:rsidR="005E19E1">
              <w:rPr>
                <w:rFonts w:ascii="Arial" w:hAnsi="Arial" w:cs="Arial"/>
                <w:sz w:val="18"/>
                <w:szCs w:val="20"/>
              </w:rPr>
              <w:t xml:space="preserve">1 </w:t>
            </w:r>
            <w:r w:rsidRPr="00390B67">
              <w:rPr>
                <w:rFonts w:ascii="Arial" w:hAnsi="Arial" w:cs="Arial"/>
                <w:sz w:val="18"/>
                <w:szCs w:val="20"/>
              </w:rPr>
              <w:t xml:space="preserve">and 2007. </w:t>
            </w:r>
            <w:r w:rsidRPr="00390B67">
              <w:rPr>
                <w:rFonts w:ascii="Arial" w:hAnsi="Arial" w:cs="Arial"/>
                <w:sz w:val="18"/>
                <w:szCs w:val="20"/>
                <w:u w:val="single"/>
              </w:rPr>
              <w:t>Prior history</w:t>
            </w:r>
            <w:r w:rsidRPr="00390B67">
              <w:rPr>
                <w:rFonts w:ascii="Arial" w:hAnsi="Arial" w:cs="Arial"/>
                <w:sz w:val="18"/>
                <w:szCs w:val="20"/>
              </w:rPr>
              <w:t xml:space="preserve">: The idea of hosting the 2012 Olympics in London emerged in 1995 after the </w:t>
            </w:r>
            <w:r w:rsidR="003132B3">
              <w:rPr>
                <w:rFonts w:ascii="Arial" w:hAnsi="Arial" w:cs="Arial"/>
                <w:sz w:val="18"/>
                <w:szCs w:val="20"/>
              </w:rPr>
              <w:t xml:space="preserve">third loss for the </w:t>
            </w:r>
            <w:r w:rsidRPr="00390B67">
              <w:rPr>
                <w:rFonts w:ascii="Arial" w:hAnsi="Arial" w:cs="Arial"/>
                <w:sz w:val="18"/>
                <w:szCs w:val="20"/>
              </w:rPr>
              <w:t xml:space="preserve">UK </w:t>
            </w:r>
            <w:r w:rsidR="003132B3" w:rsidRPr="00390B67">
              <w:rPr>
                <w:rFonts w:ascii="Arial" w:hAnsi="Arial" w:cs="Arial"/>
                <w:sz w:val="18"/>
                <w:szCs w:val="20"/>
              </w:rPr>
              <w:t>loss</w:t>
            </w:r>
            <w:r w:rsidR="005E19E1">
              <w:rPr>
                <w:rFonts w:ascii="Arial" w:hAnsi="Arial" w:cs="Arial"/>
                <w:sz w:val="18"/>
                <w:szCs w:val="20"/>
              </w:rPr>
              <w:t xml:space="preserve"> </w:t>
            </w:r>
            <w:r w:rsidR="003132B3">
              <w:rPr>
                <w:rFonts w:ascii="Arial" w:hAnsi="Arial" w:cs="Arial"/>
                <w:sz w:val="18"/>
                <w:szCs w:val="20"/>
              </w:rPr>
              <w:t>of</w:t>
            </w:r>
            <w:r w:rsidR="005E19E1">
              <w:rPr>
                <w:rFonts w:ascii="Arial" w:hAnsi="Arial" w:cs="Arial"/>
                <w:sz w:val="18"/>
                <w:szCs w:val="20"/>
              </w:rPr>
              <w:t xml:space="preserve"> the </w:t>
            </w:r>
            <w:r w:rsidR="003132B3">
              <w:rPr>
                <w:rFonts w:ascii="Arial" w:hAnsi="Arial" w:cs="Arial"/>
                <w:sz w:val="18"/>
                <w:szCs w:val="20"/>
              </w:rPr>
              <w:t xml:space="preserve">Olympics </w:t>
            </w:r>
            <w:r w:rsidRPr="00390B67">
              <w:rPr>
                <w:rFonts w:ascii="Arial" w:hAnsi="Arial" w:cs="Arial"/>
                <w:sz w:val="18"/>
                <w:szCs w:val="20"/>
              </w:rPr>
              <w:t>contest. In 2001 the UK government formed a coalition to promote the scheme with the London government and the British Olympic Association.</w:t>
            </w:r>
            <w:r w:rsidR="005B69C0" w:rsidRPr="00390B67">
              <w:rPr>
                <w:rFonts w:ascii="Arial" w:hAnsi="Arial" w:cs="Arial"/>
                <w:sz w:val="18"/>
                <w:szCs w:val="20"/>
              </w:rPr>
              <w:t xml:space="preserve"> </w:t>
            </w:r>
            <w:r w:rsidRPr="00390B67">
              <w:rPr>
                <w:rFonts w:ascii="Arial" w:hAnsi="Arial" w:cs="Arial"/>
                <w:sz w:val="18"/>
                <w:szCs w:val="20"/>
                <w:u w:val="single"/>
              </w:rPr>
              <w:t>Performance baseline</w:t>
            </w:r>
            <w:r w:rsidRPr="00390B67">
              <w:rPr>
                <w:rFonts w:ascii="Arial" w:hAnsi="Arial" w:cs="Arial"/>
                <w:sz w:val="18"/>
                <w:szCs w:val="20"/>
              </w:rPr>
              <w:t xml:space="preserve">: In 2002, the International Olympic Committee (IOC) opened the </w:t>
            </w:r>
            <w:r w:rsidR="003132B3">
              <w:rPr>
                <w:rFonts w:ascii="Arial" w:hAnsi="Arial" w:cs="Arial"/>
                <w:sz w:val="18"/>
                <w:szCs w:val="20"/>
              </w:rPr>
              <w:t>contest</w:t>
            </w:r>
            <w:r w:rsidRPr="00390B67">
              <w:rPr>
                <w:rFonts w:ascii="Arial" w:hAnsi="Arial" w:cs="Arial"/>
                <w:sz w:val="18"/>
                <w:szCs w:val="20"/>
              </w:rPr>
              <w:t xml:space="preserve">; </w:t>
            </w:r>
            <w:r w:rsidR="003132B3">
              <w:rPr>
                <w:rFonts w:ascii="Arial" w:hAnsi="Arial" w:cs="Arial"/>
                <w:sz w:val="18"/>
                <w:szCs w:val="20"/>
              </w:rPr>
              <w:t>the UK was given</w:t>
            </w:r>
            <w:r w:rsidRPr="00390B67">
              <w:rPr>
                <w:rFonts w:ascii="Arial" w:hAnsi="Arial" w:cs="Arial"/>
                <w:sz w:val="18"/>
                <w:szCs w:val="20"/>
              </w:rPr>
              <w:t xml:space="preserve"> two years to develop an intermediate bid and six </w:t>
            </w:r>
            <w:r w:rsidR="003132B3">
              <w:rPr>
                <w:rFonts w:ascii="Arial" w:hAnsi="Arial" w:cs="Arial"/>
                <w:sz w:val="18"/>
                <w:szCs w:val="20"/>
              </w:rPr>
              <w:t>more</w:t>
            </w:r>
            <w:r w:rsidR="003132B3" w:rsidRPr="00390B67">
              <w:rPr>
                <w:rFonts w:ascii="Arial" w:hAnsi="Arial" w:cs="Arial"/>
                <w:sz w:val="18"/>
                <w:szCs w:val="20"/>
              </w:rPr>
              <w:t xml:space="preserve"> </w:t>
            </w:r>
            <w:r w:rsidRPr="00390B67">
              <w:rPr>
                <w:rFonts w:ascii="Arial" w:hAnsi="Arial" w:cs="Arial"/>
                <w:sz w:val="18"/>
                <w:szCs w:val="20"/>
              </w:rPr>
              <w:t>months to submit the final bid; the scope and cost forecast</w:t>
            </w:r>
            <w:r w:rsidR="005B69C0" w:rsidRPr="00390B67">
              <w:rPr>
                <w:rFonts w:ascii="Arial" w:hAnsi="Arial" w:cs="Arial"/>
                <w:sz w:val="18"/>
                <w:szCs w:val="20"/>
              </w:rPr>
              <w:t>s evolved</w:t>
            </w:r>
            <w:r w:rsidRPr="00390B67">
              <w:rPr>
                <w:rFonts w:ascii="Arial" w:hAnsi="Arial" w:cs="Arial"/>
                <w:sz w:val="18"/>
                <w:szCs w:val="20"/>
              </w:rPr>
              <w:t xml:space="preserve"> during the bidding process and afterwards. Facing an immovable deadline, the promoter </w:t>
            </w:r>
            <w:r w:rsidR="005B69C0" w:rsidRPr="00390B67">
              <w:rPr>
                <w:rFonts w:ascii="Arial" w:hAnsi="Arial" w:cs="Arial"/>
                <w:sz w:val="18"/>
                <w:szCs w:val="20"/>
              </w:rPr>
              <w:t>spent</w:t>
            </w:r>
            <w:r w:rsidRPr="00390B67">
              <w:rPr>
                <w:rFonts w:ascii="Arial" w:hAnsi="Arial" w:cs="Arial"/>
                <w:sz w:val="18"/>
                <w:szCs w:val="20"/>
              </w:rPr>
              <w:t xml:space="preserve"> </w:t>
            </w:r>
            <w:r w:rsidR="005B69C0" w:rsidRPr="00390B67">
              <w:rPr>
                <w:rFonts w:ascii="Arial" w:hAnsi="Arial" w:cs="Arial"/>
                <w:sz w:val="18"/>
                <w:szCs w:val="20"/>
              </w:rPr>
              <w:t>18 months</w:t>
            </w:r>
            <w:r w:rsidRPr="00390B67">
              <w:rPr>
                <w:rFonts w:ascii="Arial" w:hAnsi="Arial" w:cs="Arial"/>
                <w:sz w:val="18"/>
                <w:szCs w:val="20"/>
              </w:rPr>
              <w:t xml:space="preserve"> after winning the contest to </w:t>
            </w:r>
            <w:r w:rsidR="00A13E1A">
              <w:rPr>
                <w:rFonts w:ascii="Arial" w:hAnsi="Arial" w:cs="Arial"/>
                <w:sz w:val="18"/>
                <w:szCs w:val="20"/>
              </w:rPr>
              <w:t xml:space="preserve">refine the </w:t>
            </w:r>
            <w:r w:rsidRPr="00390B67">
              <w:rPr>
                <w:rFonts w:ascii="Arial" w:hAnsi="Arial" w:cs="Arial"/>
                <w:sz w:val="18"/>
                <w:szCs w:val="20"/>
              </w:rPr>
              <w:t>plan and produce a performance baseline (‘Yellow book’)</w:t>
            </w:r>
            <w:r w:rsidR="005B69C0" w:rsidRPr="00390B67">
              <w:rPr>
                <w:rFonts w:ascii="Arial" w:hAnsi="Arial" w:cs="Arial"/>
                <w:sz w:val="18"/>
                <w:szCs w:val="20"/>
              </w:rPr>
              <w:t>, which was updated in 2009 (‘Blue Book’)</w:t>
            </w:r>
            <w:r w:rsidRPr="00390B67">
              <w:rPr>
                <w:rFonts w:ascii="Arial" w:hAnsi="Arial" w:cs="Arial"/>
                <w:sz w:val="18"/>
                <w:szCs w:val="20"/>
              </w:rPr>
              <w:t xml:space="preserve">. </w:t>
            </w:r>
            <w:r w:rsidRPr="00390B67">
              <w:rPr>
                <w:rFonts w:ascii="Arial" w:hAnsi="Arial" w:cs="Arial"/>
                <w:sz w:val="18"/>
                <w:szCs w:val="20"/>
                <w:u w:val="single"/>
              </w:rPr>
              <w:t>Context:</w:t>
            </w:r>
            <w:r w:rsidRPr="00390B67">
              <w:rPr>
                <w:rFonts w:ascii="Arial" w:hAnsi="Arial" w:cs="Arial"/>
                <w:sz w:val="18"/>
                <w:szCs w:val="20"/>
              </w:rPr>
              <w:t xml:space="preserve"> after London gained the contest, Parliament rushed to give government the power necessary to force land sales; and LOCOG, </w:t>
            </w:r>
            <w:proofErr w:type="gramStart"/>
            <w:r w:rsidRPr="00390B67">
              <w:rPr>
                <w:rFonts w:ascii="Arial" w:hAnsi="Arial" w:cs="Arial"/>
                <w:sz w:val="18"/>
                <w:szCs w:val="20"/>
              </w:rPr>
              <w:t>a</w:t>
            </w:r>
            <w:proofErr w:type="gramEnd"/>
            <w:r w:rsidRPr="00390B67">
              <w:rPr>
                <w:rFonts w:ascii="Arial" w:hAnsi="Arial" w:cs="Arial"/>
                <w:sz w:val="18"/>
                <w:szCs w:val="20"/>
              </w:rPr>
              <w:t xml:space="preserve"> IOC’s watchdog, joined the promoter organization</w:t>
            </w:r>
            <w:r w:rsidR="005E19E1">
              <w:rPr>
                <w:rFonts w:ascii="Arial" w:hAnsi="Arial" w:cs="Arial"/>
                <w:sz w:val="18"/>
                <w:szCs w:val="20"/>
              </w:rPr>
              <w:t xml:space="preserve"> and gained veto power on the top governing board</w:t>
            </w:r>
            <w:r w:rsidRPr="00390B67">
              <w:rPr>
                <w:rFonts w:ascii="Arial" w:hAnsi="Arial" w:cs="Arial"/>
                <w:sz w:val="18"/>
                <w:szCs w:val="20"/>
              </w:rPr>
              <w:t>.</w:t>
            </w:r>
          </w:p>
        </w:tc>
        <w:tc>
          <w:tcPr>
            <w:tcW w:w="2835" w:type="dxa"/>
            <w:tcBorders>
              <w:top w:val="double" w:sz="4" w:space="0" w:color="auto"/>
              <w:bottom w:val="single" w:sz="4" w:space="0" w:color="auto"/>
            </w:tcBorders>
          </w:tcPr>
          <w:p w14:paraId="72D0FA83" w14:textId="1437FAE0" w:rsidR="005E4327" w:rsidRPr="00390B67" w:rsidRDefault="005E4327" w:rsidP="003132B3">
            <w:pPr>
              <w:spacing w:line="276" w:lineRule="auto"/>
              <w:ind w:left="-108" w:right="-108" w:firstLine="0"/>
              <w:jc w:val="left"/>
              <w:rPr>
                <w:rFonts w:ascii="Arial" w:hAnsi="Arial" w:cs="Arial"/>
                <w:sz w:val="18"/>
                <w:szCs w:val="20"/>
              </w:rPr>
            </w:pPr>
            <w:r w:rsidRPr="00390B67">
              <w:rPr>
                <w:rFonts w:ascii="Arial" w:hAnsi="Arial" w:cs="Arial"/>
                <w:b/>
                <w:sz w:val="18"/>
                <w:szCs w:val="20"/>
              </w:rPr>
              <w:t xml:space="preserve">Cost </w:t>
            </w:r>
            <w:r w:rsidR="003132B3">
              <w:rPr>
                <w:rFonts w:ascii="Arial" w:hAnsi="Arial" w:cs="Arial"/>
                <w:b/>
                <w:sz w:val="18"/>
                <w:szCs w:val="20"/>
              </w:rPr>
              <w:t>e</w:t>
            </w:r>
            <w:r w:rsidR="00DB5138">
              <w:rPr>
                <w:rFonts w:ascii="Arial" w:hAnsi="Arial" w:cs="Arial"/>
                <w:b/>
                <w:sz w:val="18"/>
                <w:szCs w:val="20"/>
              </w:rPr>
              <w:t xml:space="preserve">volution </w:t>
            </w:r>
          </w:p>
          <w:p w14:paraId="34F383E3" w14:textId="77777777" w:rsidR="005E4327" w:rsidRPr="00390B67" w:rsidRDefault="005E4327" w:rsidP="003132B3">
            <w:pPr>
              <w:spacing w:line="240" w:lineRule="auto"/>
              <w:ind w:left="-108" w:right="-108" w:firstLine="0"/>
              <w:jc w:val="left"/>
              <w:rPr>
                <w:rStyle w:val="SubtleReference"/>
                <w:rFonts w:ascii="Arial" w:hAnsi="Arial" w:cs="Arial"/>
                <w:szCs w:val="20"/>
              </w:rPr>
            </w:pPr>
            <w:r w:rsidRPr="00390B67">
              <w:rPr>
                <w:rStyle w:val="SubtleReference"/>
                <w:rFonts w:ascii="Arial" w:hAnsi="Arial" w:cs="Arial"/>
                <w:szCs w:val="20"/>
              </w:rPr>
              <w:t>2002, ~ £1.1bn</w:t>
            </w:r>
          </w:p>
          <w:p w14:paraId="7D1769C3" w14:textId="77777777" w:rsidR="005E4327" w:rsidRPr="00390B67" w:rsidRDefault="005E4327" w:rsidP="001576F2">
            <w:pPr>
              <w:spacing w:line="240" w:lineRule="auto"/>
              <w:ind w:left="-108" w:right="-108" w:firstLine="0"/>
              <w:jc w:val="left"/>
              <w:rPr>
                <w:rStyle w:val="SubtleReference"/>
                <w:rFonts w:ascii="Arial" w:hAnsi="Arial" w:cs="Arial"/>
                <w:szCs w:val="20"/>
              </w:rPr>
            </w:pPr>
            <w:r w:rsidRPr="00390B67">
              <w:rPr>
                <w:rStyle w:val="SubtleReference"/>
                <w:rFonts w:ascii="Arial" w:hAnsi="Arial" w:cs="Arial"/>
                <w:szCs w:val="20"/>
              </w:rPr>
              <w:t xml:space="preserve">2004, ~ £4.9bn </w:t>
            </w:r>
          </w:p>
          <w:p w14:paraId="064156EE" w14:textId="1020029C" w:rsidR="005E4327" w:rsidRPr="00390B67" w:rsidRDefault="005E4327" w:rsidP="0042517B">
            <w:pPr>
              <w:spacing w:line="240" w:lineRule="auto"/>
              <w:ind w:left="-108" w:right="-108" w:firstLine="0"/>
              <w:jc w:val="left"/>
              <w:rPr>
                <w:rStyle w:val="SubtleReference"/>
                <w:rFonts w:ascii="Arial" w:hAnsi="Arial" w:cs="Arial"/>
                <w:szCs w:val="20"/>
              </w:rPr>
            </w:pPr>
            <w:r w:rsidRPr="00390B67">
              <w:rPr>
                <w:rStyle w:val="SubtleReference"/>
                <w:rFonts w:ascii="Arial" w:hAnsi="Arial" w:cs="Arial"/>
                <w:szCs w:val="20"/>
              </w:rPr>
              <w:t>200</w:t>
            </w:r>
            <w:r w:rsidR="003132B3">
              <w:rPr>
                <w:rStyle w:val="SubtleReference"/>
                <w:rFonts w:ascii="Arial" w:hAnsi="Arial" w:cs="Arial"/>
                <w:szCs w:val="20"/>
              </w:rPr>
              <w:t>6/</w:t>
            </w:r>
            <w:r w:rsidRPr="00390B67">
              <w:rPr>
                <w:rStyle w:val="SubtleReference"/>
                <w:rFonts w:ascii="Arial" w:hAnsi="Arial" w:cs="Arial"/>
                <w:szCs w:val="20"/>
              </w:rPr>
              <w:t xml:space="preserve">7, ~ £6.1bn </w:t>
            </w:r>
          </w:p>
          <w:p w14:paraId="4CD9CF91" w14:textId="12A21A7B" w:rsidR="009F0D22" w:rsidRPr="00390B67" w:rsidRDefault="005E4327" w:rsidP="00B33E51">
            <w:pPr>
              <w:spacing w:line="276" w:lineRule="auto"/>
              <w:ind w:left="-108" w:right="-108" w:firstLine="0"/>
              <w:jc w:val="left"/>
              <w:rPr>
                <w:rFonts w:ascii="Arial" w:hAnsi="Arial" w:cs="Arial"/>
                <w:b/>
                <w:sz w:val="18"/>
                <w:szCs w:val="20"/>
              </w:rPr>
            </w:pPr>
            <w:r w:rsidRPr="00390B67">
              <w:rPr>
                <w:rStyle w:val="SubtleReference"/>
                <w:rFonts w:ascii="Arial" w:hAnsi="Arial" w:cs="Arial"/>
                <w:szCs w:val="20"/>
              </w:rPr>
              <w:t>Final</w:t>
            </w:r>
            <w:r w:rsidR="003132B3">
              <w:rPr>
                <w:rStyle w:val="SubtleReference"/>
                <w:rFonts w:ascii="Arial" w:hAnsi="Arial" w:cs="Arial"/>
                <w:szCs w:val="20"/>
              </w:rPr>
              <w:t>,</w:t>
            </w:r>
            <w:r w:rsidRPr="00390B67">
              <w:rPr>
                <w:rStyle w:val="SubtleReference"/>
                <w:rFonts w:ascii="Arial" w:hAnsi="Arial" w:cs="Arial"/>
                <w:szCs w:val="20"/>
              </w:rPr>
              <w:t>~£8.</w:t>
            </w:r>
            <w:r w:rsidR="003132B3">
              <w:rPr>
                <w:rStyle w:val="SubtleReference"/>
                <w:rFonts w:ascii="Arial" w:hAnsi="Arial" w:cs="Arial"/>
                <w:szCs w:val="20"/>
              </w:rPr>
              <w:t>1</w:t>
            </w:r>
            <w:r w:rsidRPr="00390B67">
              <w:rPr>
                <w:rStyle w:val="SubtleReference"/>
                <w:rFonts w:ascii="Arial" w:hAnsi="Arial" w:cs="Arial"/>
                <w:szCs w:val="20"/>
              </w:rPr>
              <w:t>bn</w:t>
            </w:r>
            <w:r w:rsidR="00A13E1A">
              <w:rPr>
                <w:rStyle w:val="SubtleReference"/>
                <w:rFonts w:ascii="Arial" w:hAnsi="Arial" w:cs="Arial"/>
                <w:szCs w:val="20"/>
              </w:rPr>
              <w:t xml:space="preserve"> (</w:t>
            </w:r>
            <w:r w:rsidR="009F0D22" w:rsidRPr="00390B67">
              <w:rPr>
                <w:rStyle w:val="SubtleReference"/>
                <w:rFonts w:ascii="Arial" w:hAnsi="Arial" w:cs="Arial"/>
                <w:i/>
                <w:szCs w:val="20"/>
              </w:rPr>
              <w:t>includes post-games conversion</w:t>
            </w:r>
            <w:r w:rsidR="009F0D22" w:rsidRPr="00390B67">
              <w:rPr>
                <w:rStyle w:val="SubtleReference"/>
                <w:rFonts w:ascii="Arial" w:hAnsi="Arial" w:cs="Arial"/>
                <w:szCs w:val="20"/>
              </w:rPr>
              <w:t>)</w:t>
            </w:r>
          </w:p>
        </w:tc>
      </w:tr>
      <w:tr w:rsidR="005E4327" w:rsidRPr="00390B67" w14:paraId="0F33AEFE" w14:textId="77777777" w:rsidTr="00585BCA">
        <w:trPr>
          <w:trHeight w:val="952"/>
        </w:trPr>
        <w:tc>
          <w:tcPr>
            <w:tcW w:w="5670" w:type="dxa"/>
            <w:vMerge/>
          </w:tcPr>
          <w:p w14:paraId="67060211" w14:textId="77777777" w:rsidR="005E4327" w:rsidRPr="00390B67" w:rsidRDefault="005E4327" w:rsidP="00DE210C">
            <w:pPr>
              <w:spacing w:line="276" w:lineRule="auto"/>
              <w:ind w:firstLine="0"/>
              <w:rPr>
                <w:rFonts w:ascii="Arial" w:hAnsi="Arial" w:cs="Arial"/>
                <w:b/>
                <w:sz w:val="18"/>
                <w:szCs w:val="20"/>
              </w:rPr>
            </w:pPr>
          </w:p>
        </w:tc>
        <w:tc>
          <w:tcPr>
            <w:tcW w:w="2835" w:type="dxa"/>
            <w:tcBorders>
              <w:top w:val="single" w:sz="4" w:space="0" w:color="auto"/>
              <w:bottom w:val="single" w:sz="4" w:space="0" w:color="auto"/>
            </w:tcBorders>
          </w:tcPr>
          <w:p w14:paraId="69B529BF" w14:textId="74927DB2" w:rsidR="00CD382D" w:rsidRPr="00390B67" w:rsidRDefault="001337FB" w:rsidP="003132B3">
            <w:pPr>
              <w:spacing w:line="240" w:lineRule="auto"/>
              <w:ind w:left="-108" w:right="-108" w:firstLine="0"/>
              <w:jc w:val="left"/>
              <w:rPr>
                <w:rFonts w:ascii="Arial" w:hAnsi="Arial" w:cs="Arial"/>
                <w:b/>
                <w:sz w:val="18"/>
                <w:szCs w:val="20"/>
              </w:rPr>
            </w:pPr>
            <w:r>
              <w:rPr>
                <w:rFonts w:ascii="Arial" w:hAnsi="Arial" w:cs="Arial"/>
                <w:b/>
                <w:sz w:val="18"/>
                <w:szCs w:val="20"/>
              </w:rPr>
              <w:t xml:space="preserve">Contingency </w:t>
            </w:r>
            <w:r w:rsidR="003132B3">
              <w:rPr>
                <w:rFonts w:ascii="Arial" w:hAnsi="Arial" w:cs="Arial"/>
                <w:b/>
                <w:sz w:val="18"/>
                <w:szCs w:val="20"/>
              </w:rPr>
              <w:t>funds</w:t>
            </w:r>
          </w:p>
          <w:p w14:paraId="6F7151CC" w14:textId="3710D258" w:rsidR="00732E3D" w:rsidRPr="00107181" w:rsidRDefault="005E4327" w:rsidP="003132B3">
            <w:pPr>
              <w:spacing w:line="240" w:lineRule="auto"/>
              <w:ind w:left="-108" w:right="-108" w:firstLine="0"/>
              <w:jc w:val="left"/>
              <w:rPr>
                <w:rStyle w:val="SubtleReference"/>
                <w:rFonts w:ascii="Arial" w:hAnsi="Arial" w:cs="Arial"/>
                <w:szCs w:val="20"/>
              </w:rPr>
            </w:pPr>
            <w:r w:rsidRPr="00107181">
              <w:rPr>
                <w:rStyle w:val="SubtleReference"/>
                <w:rFonts w:ascii="Arial" w:hAnsi="Arial" w:cs="Arial"/>
                <w:szCs w:val="20"/>
              </w:rPr>
              <w:t>200</w:t>
            </w:r>
            <w:r w:rsidR="003132B3">
              <w:rPr>
                <w:rStyle w:val="SubtleReference"/>
                <w:rFonts w:ascii="Arial" w:hAnsi="Arial" w:cs="Arial"/>
                <w:szCs w:val="20"/>
              </w:rPr>
              <w:t>6/</w:t>
            </w:r>
            <w:r w:rsidRPr="00107181">
              <w:rPr>
                <w:rStyle w:val="SubtleReference"/>
                <w:rFonts w:ascii="Arial" w:hAnsi="Arial" w:cs="Arial"/>
                <w:szCs w:val="20"/>
              </w:rPr>
              <w:t xml:space="preserve">7, ~£2.0bn </w:t>
            </w:r>
          </w:p>
          <w:p w14:paraId="6C8A42DB" w14:textId="6F7A995D" w:rsidR="005E4327" w:rsidRPr="00390B67" w:rsidRDefault="00732E3D" w:rsidP="001576F2">
            <w:pPr>
              <w:spacing w:line="240" w:lineRule="auto"/>
              <w:ind w:left="-108" w:right="-108" w:firstLine="0"/>
              <w:jc w:val="left"/>
              <w:rPr>
                <w:rFonts w:ascii="Arial" w:hAnsi="Arial" w:cs="Arial"/>
                <w:i/>
                <w:sz w:val="18"/>
                <w:szCs w:val="20"/>
                <w:lang w:eastAsia="fr-FR"/>
              </w:rPr>
            </w:pPr>
            <w:r>
              <w:rPr>
                <w:rStyle w:val="SubtleReference"/>
                <w:rFonts w:ascii="Arial" w:hAnsi="Arial" w:cs="Arial"/>
                <w:szCs w:val="20"/>
              </w:rPr>
              <w:t>201</w:t>
            </w:r>
            <w:r w:rsidR="00A13E1A">
              <w:rPr>
                <w:rStyle w:val="SubtleReference"/>
                <w:rFonts w:ascii="Arial" w:hAnsi="Arial" w:cs="Arial"/>
                <w:szCs w:val="20"/>
              </w:rPr>
              <w:t>3</w:t>
            </w:r>
            <w:r>
              <w:rPr>
                <w:rStyle w:val="SubtleReference"/>
                <w:rFonts w:ascii="Arial" w:hAnsi="Arial" w:cs="Arial"/>
                <w:szCs w:val="20"/>
              </w:rPr>
              <w:t xml:space="preserve">, </w:t>
            </w:r>
            <w:r w:rsidR="00A13E1A">
              <w:rPr>
                <w:rStyle w:val="SubtleReference"/>
                <w:rFonts w:ascii="Arial" w:hAnsi="Arial" w:cs="Arial"/>
                <w:szCs w:val="20"/>
              </w:rPr>
              <w:t>no</w:t>
            </w:r>
            <w:r>
              <w:rPr>
                <w:rStyle w:val="SubtleReference"/>
                <w:rFonts w:ascii="Arial" w:hAnsi="Arial" w:cs="Arial"/>
                <w:szCs w:val="20"/>
              </w:rPr>
              <w:t xml:space="preserve"> contingency left</w:t>
            </w:r>
            <w:r w:rsidRPr="00390B67" w:rsidDel="00732E3D">
              <w:rPr>
                <w:rStyle w:val="SubtleReference"/>
                <w:rFonts w:ascii="Arial" w:hAnsi="Arial" w:cs="Arial"/>
                <w:i/>
                <w:szCs w:val="20"/>
              </w:rPr>
              <w:t xml:space="preserve"> </w:t>
            </w:r>
          </w:p>
        </w:tc>
      </w:tr>
      <w:tr w:rsidR="005E4327" w:rsidRPr="00390B67" w14:paraId="2AE7AA70" w14:textId="77777777" w:rsidTr="00585BCA">
        <w:trPr>
          <w:trHeight w:val="1117"/>
        </w:trPr>
        <w:tc>
          <w:tcPr>
            <w:tcW w:w="5670" w:type="dxa"/>
            <w:vMerge/>
            <w:tcBorders>
              <w:bottom w:val="double" w:sz="4" w:space="0" w:color="auto"/>
            </w:tcBorders>
          </w:tcPr>
          <w:p w14:paraId="4CCCFB3F" w14:textId="77777777" w:rsidR="005E4327" w:rsidRPr="00390B67" w:rsidRDefault="005E4327" w:rsidP="00DE210C">
            <w:pPr>
              <w:spacing w:line="276" w:lineRule="auto"/>
              <w:ind w:firstLine="0"/>
              <w:rPr>
                <w:rFonts w:ascii="Arial" w:hAnsi="Arial" w:cs="Arial"/>
                <w:b/>
                <w:sz w:val="18"/>
                <w:szCs w:val="20"/>
              </w:rPr>
            </w:pPr>
          </w:p>
        </w:tc>
        <w:tc>
          <w:tcPr>
            <w:tcW w:w="2835" w:type="dxa"/>
            <w:tcBorders>
              <w:top w:val="single" w:sz="4" w:space="0" w:color="auto"/>
              <w:bottom w:val="double" w:sz="4" w:space="0" w:color="auto"/>
            </w:tcBorders>
          </w:tcPr>
          <w:p w14:paraId="660F633E" w14:textId="4CBAEE77" w:rsidR="00CD382D" w:rsidRPr="00390B67" w:rsidRDefault="005E19E1" w:rsidP="00B33E51">
            <w:pPr>
              <w:spacing w:line="276" w:lineRule="auto"/>
              <w:ind w:left="-108" w:firstLine="0"/>
              <w:jc w:val="left"/>
              <w:rPr>
                <w:rStyle w:val="SubtleReference"/>
                <w:rFonts w:ascii="Arial" w:hAnsi="Arial" w:cs="Arial"/>
                <w:b/>
                <w:szCs w:val="20"/>
                <w:lang w:eastAsia="en-GB"/>
              </w:rPr>
            </w:pPr>
            <w:r>
              <w:rPr>
                <w:rFonts w:ascii="Arial" w:hAnsi="Arial" w:cs="Arial"/>
                <w:b/>
                <w:sz w:val="18"/>
                <w:szCs w:val="20"/>
              </w:rPr>
              <w:t>Completion</w:t>
            </w:r>
            <w:r w:rsidRPr="00390B67">
              <w:rPr>
                <w:rFonts w:ascii="Arial" w:hAnsi="Arial" w:cs="Arial"/>
                <w:b/>
                <w:sz w:val="18"/>
                <w:szCs w:val="20"/>
              </w:rPr>
              <w:t xml:space="preserve"> </w:t>
            </w:r>
            <w:r w:rsidR="003132B3">
              <w:rPr>
                <w:rFonts w:ascii="Arial" w:hAnsi="Arial" w:cs="Arial"/>
                <w:b/>
                <w:sz w:val="18"/>
                <w:szCs w:val="20"/>
              </w:rPr>
              <w:t>date</w:t>
            </w:r>
            <w:r w:rsidR="001337FB">
              <w:rPr>
                <w:rFonts w:ascii="Arial" w:hAnsi="Arial" w:cs="Arial"/>
                <w:b/>
                <w:sz w:val="18"/>
                <w:szCs w:val="20"/>
              </w:rPr>
              <w:t xml:space="preserve"> immovable</w:t>
            </w:r>
          </w:p>
          <w:p w14:paraId="6ECF89D5" w14:textId="4D5A8690" w:rsidR="005E4327" w:rsidRPr="00390B67" w:rsidRDefault="005E4327" w:rsidP="00B33E51">
            <w:pPr>
              <w:spacing w:line="276" w:lineRule="auto"/>
              <w:ind w:left="-108" w:firstLine="0"/>
              <w:rPr>
                <w:rFonts w:ascii="Arial" w:hAnsi="Arial" w:cs="Arial"/>
                <w:b/>
                <w:i/>
                <w:sz w:val="18"/>
                <w:szCs w:val="20"/>
              </w:rPr>
            </w:pPr>
            <w:r w:rsidRPr="00390B67">
              <w:rPr>
                <w:rStyle w:val="SubtleReference"/>
                <w:rFonts w:ascii="Arial" w:hAnsi="Arial" w:cs="Arial"/>
                <w:i/>
                <w:szCs w:val="20"/>
              </w:rPr>
              <w:t>But some</w:t>
            </w:r>
            <w:r w:rsidR="005B69C0" w:rsidRPr="00390B67">
              <w:rPr>
                <w:rStyle w:val="SubtleReference"/>
                <w:rFonts w:ascii="Arial" w:hAnsi="Arial" w:cs="Arial"/>
                <w:i/>
                <w:szCs w:val="20"/>
              </w:rPr>
              <w:t xml:space="preserve"> </w:t>
            </w:r>
            <w:r w:rsidR="00732E3D">
              <w:rPr>
                <w:rStyle w:val="SubtleReference"/>
                <w:rFonts w:ascii="Arial" w:hAnsi="Arial" w:cs="Arial"/>
                <w:i/>
                <w:szCs w:val="20"/>
              </w:rPr>
              <w:t>planning</w:t>
            </w:r>
            <w:r w:rsidR="00732E3D" w:rsidRPr="00390B67">
              <w:rPr>
                <w:rStyle w:val="SubtleReference"/>
                <w:rFonts w:ascii="Arial" w:hAnsi="Arial" w:cs="Arial"/>
                <w:i/>
                <w:szCs w:val="20"/>
              </w:rPr>
              <w:t xml:space="preserve"> </w:t>
            </w:r>
            <w:r w:rsidRPr="00390B67">
              <w:rPr>
                <w:rStyle w:val="SubtleReference"/>
                <w:rFonts w:ascii="Arial" w:hAnsi="Arial" w:cs="Arial"/>
                <w:i/>
                <w:szCs w:val="20"/>
              </w:rPr>
              <w:t>disputes</w:t>
            </w:r>
            <w:r w:rsidR="005B69C0" w:rsidRPr="00390B67">
              <w:rPr>
                <w:rStyle w:val="SubtleReference"/>
                <w:rFonts w:ascii="Arial" w:hAnsi="Arial" w:cs="Arial"/>
                <w:i/>
                <w:szCs w:val="20"/>
              </w:rPr>
              <w:t xml:space="preserve"> were</w:t>
            </w:r>
            <w:r w:rsidRPr="00390B67">
              <w:rPr>
                <w:rStyle w:val="SubtleReference"/>
                <w:rFonts w:ascii="Arial" w:hAnsi="Arial" w:cs="Arial"/>
                <w:i/>
                <w:szCs w:val="20"/>
              </w:rPr>
              <w:t xml:space="preserve"> only temporarily resolved for </w:t>
            </w:r>
            <w:r w:rsidR="00A13E1A">
              <w:rPr>
                <w:rStyle w:val="SubtleReference"/>
                <w:rFonts w:ascii="Arial" w:hAnsi="Arial" w:cs="Arial"/>
                <w:i/>
                <w:szCs w:val="20"/>
              </w:rPr>
              <w:t>the Games in 2012</w:t>
            </w:r>
          </w:p>
        </w:tc>
      </w:tr>
      <w:tr w:rsidR="00CD382D" w:rsidRPr="00390B67" w14:paraId="79EFBE98" w14:textId="5AFCCA5C" w:rsidTr="00585BCA">
        <w:trPr>
          <w:trHeight w:val="112"/>
        </w:trPr>
        <w:tc>
          <w:tcPr>
            <w:tcW w:w="5670" w:type="dxa"/>
            <w:vMerge w:val="restart"/>
            <w:tcBorders>
              <w:top w:val="double" w:sz="4" w:space="0" w:color="auto"/>
            </w:tcBorders>
          </w:tcPr>
          <w:p w14:paraId="5437C0E4" w14:textId="0536FE35" w:rsidR="00CD382D" w:rsidRPr="00390B67" w:rsidRDefault="00CD382D" w:rsidP="00B33E51">
            <w:pPr>
              <w:spacing w:line="276" w:lineRule="auto"/>
              <w:ind w:left="-108" w:firstLine="0"/>
              <w:rPr>
                <w:rFonts w:ascii="Arial" w:hAnsi="Arial" w:cs="Arial"/>
                <w:sz w:val="18"/>
                <w:szCs w:val="20"/>
              </w:rPr>
            </w:pPr>
            <w:r w:rsidRPr="00390B67">
              <w:rPr>
                <w:rFonts w:ascii="Arial" w:hAnsi="Arial" w:cs="Arial"/>
                <w:b/>
                <w:sz w:val="18"/>
                <w:szCs w:val="20"/>
              </w:rPr>
              <w:t>Heathrow Airport T2</w:t>
            </w:r>
            <w:r w:rsidRPr="00390B67">
              <w:rPr>
                <w:rFonts w:ascii="Arial" w:hAnsi="Arial" w:cs="Arial"/>
                <w:sz w:val="18"/>
                <w:szCs w:val="20"/>
              </w:rPr>
              <w:t xml:space="preserve">. </w:t>
            </w:r>
            <w:r w:rsidR="00732E3D">
              <w:rPr>
                <w:rFonts w:ascii="Arial" w:hAnsi="Arial" w:cs="Arial"/>
                <w:sz w:val="18"/>
                <w:szCs w:val="20"/>
                <w:u w:val="single"/>
              </w:rPr>
              <w:t xml:space="preserve">Main </w:t>
            </w:r>
            <w:r w:rsidR="00F43699">
              <w:rPr>
                <w:rFonts w:ascii="Arial" w:hAnsi="Arial" w:cs="Arial"/>
                <w:sz w:val="18"/>
                <w:szCs w:val="20"/>
                <w:u w:val="single"/>
              </w:rPr>
              <w:t>planning</w:t>
            </w:r>
            <w:r w:rsidR="00732E3D">
              <w:rPr>
                <w:rFonts w:ascii="Arial" w:hAnsi="Arial" w:cs="Arial"/>
                <w:sz w:val="18"/>
                <w:szCs w:val="20"/>
                <w:u w:val="single"/>
              </w:rPr>
              <w:t xml:space="preserve"> effort</w:t>
            </w:r>
            <w:r w:rsidRPr="00390B67">
              <w:rPr>
                <w:rFonts w:ascii="Arial" w:hAnsi="Arial" w:cs="Arial"/>
                <w:sz w:val="18"/>
                <w:szCs w:val="20"/>
              </w:rPr>
              <w:t xml:space="preserve">: occurs between 2005 and 2009. </w:t>
            </w:r>
            <w:r w:rsidRPr="00390B67">
              <w:rPr>
                <w:rFonts w:ascii="Arial" w:hAnsi="Arial" w:cs="Arial"/>
                <w:sz w:val="18"/>
                <w:szCs w:val="20"/>
                <w:u w:val="single"/>
              </w:rPr>
              <w:t>Prior History</w:t>
            </w:r>
            <w:r w:rsidRPr="00390B67">
              <w:rPr>
                <w:rFonts w:ascii="Arial" w:hAnsi="Arial" w:cs="Arial"/>
                <w:sz w:val="18"/>
                <w:szCs w:val="20"/>
              </w:rPr>
              <w:t>: The goal of consolidating all operations by Star Alliance, a network of</w:t>
            </w:r>
            <w:r w:rsidR="00D06965" w:rsidRPr="00390B67">
              <w:rPr>
                <w:rFonts w:ascii="Arial" w:hAnsi="Arial" w:cs="Arial"/>
                <w:sz w:val="18"/>
                <w:szCs w:val="20"/>
              </w:rPr>
              <w:t xml:space="preserve"> over 20</w:t>
            </w:r>
            <w:r w:rsidRPr="00390B67">
              <w:rPr>
                <w:rFonts w:ascii="Arial" w:hAnsi="Arial" w:cs="Arial"/>
                <w:sz w:val="18"/>
                <w:szCs w:val="20"/>
              </w:rPr>
              <w:t xml:space="preserve"> airlines, in a new terminal was announced in 2005; </w:t>
            </w:r>
            <w:r w:rsidR="005B69C0" w:rsidRPr="00390B67">
              <w:rPr>
                <w:rFonts w:ascii="Arial" w:hAnsi="Arial" w:cs="Arial"/>
                <w:sz w:val="18"/>
                <w:szCs w:val="20"/>
              </w:rPr>
              <w:t>in</w:t>
            </w:r>
            <w:r w:rsidRPr="00390B67">
              <w:rPr>
                <w:rFonts w:ascii="Arial" w:hAnsi="Arial" w:cs="Arial"/>
                <w:sz w:val="18"/>
                <w:szCs w:val="20"/>
              </w:rPr>
              <w:t xml:space="preserve"> th</w:t>
            </w:r>
            <w:r w:rsidR="005E19E1">
              <w:rPr>
                <w:rFonts w:ascii="Arial" w:hAnsi="Arial" w:cs="Arial"/>
                <w:sz w:val="18"/>
                <w:szCs w:val="20"/>
              </w:rPr>
              <w:t>at same</w:t>
            </w:r>
            <w:r w:rsidRPr="00390B67">
              <w:rPr>
                <w:rFonts w:ascii="Arial" w:hAnsi="Arial" w:cs="Arial"/>
                <w:sz w:val="18"/>
                <w:szCs w:val="20"/>
              </w:rPr>
              <w:t xml:space="preserve"> year BAA, the private </w:t>
            </w:r>
            <w:r w:rsidR="00585BCA">
              <w:rPr>
                <w:rFonts w:ascii="Arial" w:hAnsi="Arial" w:cs="Arial"/>
                <w:sz w:val="18"/>
                <w:szCs w:val="20"/>
              </w:rPr>
              <w:t xml:space="preserve">airport </w:t>
            </w:r>
            <w:r w:rsidRPr="00390B67">
              <w:rPr>
                <w:rFonts w:ascii="Arial" w:hAnsi="Arial" w:cs="Arial"/>
                <w:sz w:val="18"/>
                <w:szCs w:val="20"/>
              </w:rPr>
              <w:t>owner</w:t>
            </w:r>
            <w:r w:rsidR="005E19E1">
              <w:rPr>
                <w:rFonts w:ascii="Arial" w:hAnsi="Arial" w:cs="Arial"/>
                <w:sz w:val="18"/>
                <w:szCs w:val="20"/>
              </w:rPr>
              <w:t>,</w:t>
            </w:r>
            <w:r w:rsidR="005E19E1" w:rsidRPr="00390B67">
              <w:rPr>
                <w:rFonts w:ascii="Arial" w:hAnsi="Arial" w:cs="Arial"/>
                <w:sz w:val="18"/>
                <w:szCs w:val="20"/>
              </w:rPr>
              <w:t xml:space="preserve"> </w:t>
            </w:r>
            <w:r w:rsidRPr="00390B67">
              <w:rPr>
                <w:rFonts w:ascii="Arial" w:hAnsi="Arial" w:cs="Arial"/>
                <w:sz w:val="18"/>
                <w:szCs w:val="20"/>
              </w:rPr>
              <w:t xml:space="preserve">started </w:t>
            </w:r>
            <w:r w:rsidR="00A13E1A">
              <w:rPr>
                <w:rFonts w:ascii="Arial" w:hAnsi="Arial" w:cs="Arial"/>
                <w:sz w:val="18"/>
                <w:szCs w:val="20"/>
              </w:rPr>
              <w:t>building</w:t>
            </w:r>
            <w:r w:rsidRPr="00390B67">
              <w:rPr>
                <w:rFonts w:ascii="Arial" w:hAnsi="Arial" w:cs="Arial"/>
                <w:sz w:val="18"/>
                <w:szCs w:val="20"/>
              </w:rPr>
              <w:t xml:space="preserve"> Terminal 5</w:t>
            </w:r>
            <w:r w:rsidR="008F3DC6">
              <w:rPr>
                <w:rFonts w:ascii="Arial" w:hAnsi="Arial" w:cs="Arial"/>
                <w:sz w:val="18"/>
                <w:szCs w:val="20"/>
              </w:rPr>
              <w:t xml:space="preserve"> to c</w:t>
            </w:r>
            <w:r w:rsidRPr="00390B67">
              <w:rPr>
                <w:rFonts w:ascii="Arial" w:hAnsi="Arial" w:cs="Arial"/>
                <w:sz w:val="18"/>
                <w:szCs w:val="20"/>
              </w:rPr>
              <w:t>onsolidat</w:t>
            </w:r>
            <w:r w:rsidR="008F3DC6">
              <w:rPr>
                <w:rFonts w:ascii="Arial" w:hAnsi="Arial" w:cs="Arial"/>
                <w:sz w:val="18"/>
                <w:szCs w:val="20"/>
              </w:rPr>
              <w:t>e</w:t>
            </w:r>
            <w:r w:rsidRPr="00390B67">
              <w:rPr>
                <w:rFonts w:ascii="Arial" w:hAnsi="Arial" w:cs="Arial"/>
                <w:sz w:val="18"/>
                <w:szCs w:val="20"/>
              </w:rPr>
              <w:t xml:space="preserve"> the operations of </w:t>
            </w:r>
            <w:r w:rsidR="008F3DC6">
              <w:rPr>
                <w:rFonts w:ascii="Arial" w:hAnsi="Arial" w:cs="Arial"/>
                <w:sz w:val="18"/>
                <w:szCs w:val="20"/>
              </w:rPr>
              <w:t>One World, a</w:t>
            </w:r>
            <w:r w:rsidR="008F3DC6" w:rsidRPr="00390B67">
              <w:rPr>
                <w:rFonts w:ascii="Arial" w:hAnsi="Arial" w:cs="Arial"/>
                <w:sz w:val="18"/>
                <w:szCs w:val="20"/>
              </w:rPr>
              <w:t xml:space="preserve"> </w:t>
            </w:r>
            <w:r w:rsidRPr="00390B67">
              <w:rPr>
                <w:rFonts w:ascii="Arial" w:hAnsi="Arial" w:cs="Arial"/>
                <w:sz w:val="18"/>
                <w:szCs w:val="20"/>
              </w:rPr>
              <w:t>rival alliance</w:t>
            </w:r>
            <w:r w:rsidR="008A2EBA">
              <w:rPr>
                <w:rFonts w:ascii="Arial" w:hAnsi="Arial" w:cs="Arial"/>
                <w:sz w:val="18"/>
                <w:szCs w:val="20"/>
              </w:rPr>
              <w:t>;</w:t>
            </w:r>
            <w:r w:rsidRPr="00390B67">
              <w:rPr>
                <w:rFonts w:ascii="Arial" w:hAnsi="Arial" w:cs="Arial"/>
                <w:sz w:val="18"/>
                <w:szCs w:val="20"/>
              </w:rPr>
              <w:t xml:space="preserve"> </w:t>
            </w:r>
            <w:r w:rsidRPr="00390B67">
              <w:rPr>
                <w:rFonts w:ascii="Arial" w:hAnsi="Arial" w:cs="Arial"/>
                <w:sz w:val="18"/>
                <w:szCs w:val="20"/>
                <w:u w:val="single"/>
              </w:rPr>
              <w:t xml:space="preserve">Performance baseline: </w:t>
            </w:r>
            <w:r w:rsidRPr="00390B67">
              <w:rPr>
                <w:rFonts w:ascii="Arial" w:hAnsi="Arial" w:cs="Arial"/>
                <w:sz w:val="18"/>
                <w:szCs w:val="20"/>
              </w:rPr>
              <w:t>The initial goal was to replace the old T2 building with a new building so-called ‘Heathrow East’</w:t>
            </w:r>
            <w:r w:rsidR="008F3DC6">
              <w:rPr>
                <w:rFonts w:ascii="Arial" w:hAnsi="Arial" w:cs="Arial"/>
                <w:sz w:val="18"/>
                <w:szCs w:val="20"/>
              </w:rPr>
              <w:t xml:space="preserve">; BAA also aimed to </w:t>
            </w:r>
            <w:r w:rsidR="00002919">
              <w:rPr>
                <w:rFonts w:ascii="Arial" w:hAnsi="Arial" w:cs="Arial"/>
                <w:sz w:val="18"/>
                <w:szCs w:val="20"/>
              </w:rPr>
              <w:t>complete planning</w:t>
            </w:r>
            <w:r w:rsidRPr="00390B67">
              <w:rPr>
                <w:rFonts w:ascii="Arial" w:hAnsi="Arial" w:cs="Arial"/>
                <w:sz w:val="18"/>
                <w:szCs w:val="20"/>
              </w:rPr>
              <w:t xml:space="preserve"> by 2008 to coincide with </w:t>
            </w:r>
            <w:r w:rsidR="008F3DC6">
              <w:rPr>
                <w:rFonts w:ascii="Arial" w:hAnsi="Arial" w:cs="Arial"/>
                <w:sz w:val="18"/>
                <w:szCs w:val="20"/>
              </w:rPr>
              <w:t xml:space="preserve">the </w:t>
            </w:r>
            <w:r w:rsidR="00585BCA">
              <w:rPr>
                <w:rFonts w:ascii="Arial" w:hAnsi="Arial" w:cs="Arial"/>
                <w:sz w:val="18"/>
                <w:szCs w:val="20"/>
              </w:rPr>
              <w:t>end of the</w:t>
            </w:r>
            <w:r w:rsidRPr="00390B67">
              <w:rPr>
                <w:rFonts w:ascii="Arial" w:hAnsi="Arial" w:cs="Arial"/>
                <w:sz w:val="18"/>
                <w:szCs w:val="20"/>
              </w:rPr>
              <w:t xml:space="preserve"> regulatory cycle</w:t>
            </w:r>
            <w:r w:rsidR="008A2EBA">
              <w:rPr>
                <w:rFonts w:ascii="Arial" w:hAnsi="Arial" w:cs="Arial"/>
                <w:sz w:val="18"/>
                <w:szCs w:val="20"/>
              </w:rPr>
              <w:t xml:space="preserve">, but </w:t>
            </w:r>
            <w:r w:rsidR="00002919">
              <w:rPr>
                <w:rFonts w:ascii="Arial" w:hAnsi="Arial" w:cs="Arial"/>
                <w:sz w:val="18"/>
                <w:szCs w:val="20"/>
              </w:rPr>
              <w:t xml:space="preserve">the </w:t>
            </w:r>
            <w:r w:rsidR="001576F2">
              <w:rPr>
                <w:rFonts w:ascii="Arial" w:hAnsi="Arial" w:cs="Arial"/>
                <w:sz w:val="18"/>
                <w:szCs w:val="20"/>
              </w:rPr>
              <w:t xml:space="preserve">end of planning </w:t>
            </w:r>
            <w:r w:rsidRPr="00390B67">
              <w:rPr>
                <w:rFonts w:ascii="Arial" w:hAnsi="Arial" w:cs="Arial"/>
                <w:sz w:val="18"/>
                <w:szCs w:val="20"/>
              </w:rPr>
              <w:t xml:space="preserve">was later </w:t>
            </w:r>
            <w:r w:rsidR="001576F2">
              <w:rPr>
                <w:rFonts w:ascii="Arial" w:hAnsi="Arial" w:cs="Arial"/>
                <w:sz w:val="18"/>
                <w:szCs w:val="20"/>
              </w:rPr>
              <w:t>delayed to 2009</w:t>
            </w:r>
            <w:r w:rsidRPr="00390B67">
              <w:rPr>
                <w:rFonts w:ascii="Arial" w:hAnsi="Arial" w:cs="Arial"/>
                <w:sz w:val="18"/>
                <w:szCs w:val="20"/>
              </w:rPr>
              <w:t xml:space="preserve">. During </w:t>
            </w:r>
            <w:r w:rsidR="00002919">
              <w:rPr>
                <w:rFonts w:ascii="Arial" w:hAnsi="Arial" w:cs="Arial"/>
                <w:sz w:val="18"/>
                <w:szCs w:val="20"/>
              </w:rPr>
              <w:t>planning</w:t>
            </w:r>
            <w:r w:rsidRPr="00390B67">
              <w:rPr>
                <w:rFonts w:ascii="Arial" w:hAnsi="Arial" w:cs="Arial"/>
                <w:sz w:val="18"/>
                <w:szCs w:val="20"/>
              </w:rPr>
              <w:t>, the</w:t>
            </w:r>
            <w:r w:rsidR="00A13E1A">
              <w:rPr>
                <w:rFonts w:ascii="Arial" w:hAnsi="Arial" w:cs="Arial"/>
                <w:sz w:val="18"/>
                <w:szCs w:val="20"/>
              </w:rPr>
              <w:t xml:space="preserve"> T2</w:t>
            </w:r>
            <w:r w:rsidRPr="00390B67">
              <w:rPr>
                <w:rFonts w:ascii="Arial" w:hAnsi="Arial" w:cs="Arial"/>
                <w:sz w:val="18"/>
                <w:szCs w:val="20"/>
              </w:rPr>
              <w:t xml:space="preserve"> goal</w:t>
            </w:r>
            <w:r w:rsidR="008A2EBA">
              <w:rPr>
                <w:rFonts w:ascii="Arial" w:hAnsi="Arial" w:cs="Arial"/>
                <w:sz w:val="18"/>
                <w:szCs w:val="20"/>
              </w:rPr>
              <w:t xml:space="preserve"> </w:t>
            </w:r>
            <w:r w:rsidRPr="00390B67">
              <w:rPr>
                <w:rFonts w:ascii="Arial" w:hAnsi="Arial" w:cs="Arial"/>
                <w:sz w:val="18"/>
                <w:szCs w:val="20"/>
              </w:rPr>
              <w:t xml:space="preserve">evolved into a modern </w:t>
            </w:r>
            <w:r w:rsidR="00A13E1A">
              <w:rPr>
                <w:rFonts w:ascii="Arial" w:hAnsi="Arial" w:cs="Arial"/>
                <w:sz w:val="18"/>
                <w:szCs w:val="20"/>
              </w:rPr>
              <w:t xml:space="preserve">T5-like </w:t>
            </w:r>
            <w:r w:rsidRPr="00390B67">
              <w:rPr>
                <w:rFonts w:ascii="Arial" w:hAnsi="Arial" w:cs="Arial"/>
                <w:sz w:val="18"/>
                <w:szCs w:val="20"/>
              </w:rPr>
              <w:t>campus</w:t>
            </w:r>
            <w:r w:rsidR="008A2EBA">
              <w:rPr>
                <w:rFonts w:ascii="Arial" w:hAnsi="Arial" w:cs="Arial"/>
                <w:sz w:val="18"/>
                <w:szCs w:val="20"/>
              </w:rPr>
              <w:t xml:space="preserve"> </w:t>
            </w:r>
            <w:r w:rsidRPr="00390B67">
              <w:rPr>
                <w:rFonts w:ascii="Arial" w:hAnsi="Arial" w:cs="Arial"/>
                <w:sz w:val="18"/>
                <w:szCs w:val="20"/>
              </w:rPr>
              <w:t>to develop in two stages; the first stage would open by 2013 and the second by 2018. The first phase opened in 2014; as of 201</w:t>
            </w:r>
            <w:r w:rsidR="008F3DC6">
              <w:rPr>
                <w:rFonts w:ascii="Arial" w:hAnsi="Arial" w:cs="Arial"/>
                <w:sz w:val="18"/>
                <w:szCs w:val="20"/>
              </w:rPr>
              <w:t>7</w:t>
            </w:r>
            <w:r w:rsidRPr="00390B67">
              <w:rPr>
                <w:rFonts w:ascii="Arial" w:hAnsi="Arial" w:cs="Arial"/>
                <w:sz w:val="18"/>
                <w:szCs w:val="20"/>
              </w:rPr>
              <w:t xml:space="preserve">, no plan exists to start the second phase. </w:t>
            </w:r>
            <w:r w:rsidRPr="00390B67">
              <w:rPr>
                <w:rFonts w:ascii="Arial" w:hAnsi="Arial" w:cs="Arial"/>
                <w:sz w:val="18"/>
                <w:szCs w:val="20"/>
                <w:u w:val="single"/>
              </w:rPr>
              <w:t>Context:</w:t>
            </w:r>
            <w:r w:rsidR="005B69C0" w:rsidRPr="00390B67">
              <w:rPr>
                <w:rFonts w:ascii="Arial" w:hAnsi="Arial" w:cs="Arial"/>
                <w:sz w:val="18"/>
                <w:szCs w:val="20"/>
              </w:rPr>
              <w:t xml:space="preserve"> </w:t>
            </w:r>
            <w:r w:rsidR="00732E3D">
              <w:rPr>
                <w:rFonts w:ascii="Arial" w:hAnsi="Arial" w:cs="Arial"/>
                <w:sz w:val="18"/>
                <w:szCs w:val="20"/>
              </w:rPr>
              <w:t xml:space="preserve">Construction </w:t>
            </w:r>
            <w:r w:rsidRPr="00390B67">
              <w:rPr>
                <w:rFonts w:ascii="Arial" w:hAnsi="Arial" w:cs="Arial"/>
                <w:sz w:val="18"/>
                <w:szCs w:val="20"/>
              </w:rPr>
              <w:t>could not start before the performance baseline was approved by the regulator</w:t>
            </w:r>
            <w:r w:rsidR="008A2EBA">
              <w:rPr>
                <w:rFonts w:ascii="Arial" w:hAnsi="Arial" w:cs="Arial"/>
                <w:sz w:val="18"/>
                <w:szCs w:val="20"/>
              </w:rPr>
              <w:t>. By regulation BAA had to treat</w:t>
            </w:r>
            <w:r w:rsidR="00002919">
              <w:rPr>
                <w:rFonts w:ascii="Arial" w:hAnsi="Arial" w:cs="Arial"/>
                <w:sz w:val="18"/>
                <w:szCs w:val="20"/>
              </w:rPr>
              <w:t xml:space="preserve"> all airlines</w:t>
            </w:r>
            <w:r w:rsidR="001576F2">
              <w:rPr>
                <w:rFonts w:ascii="Arial" w:hAnsi="Arial" w:cs="Arial"/>
                <w:sz w:val="18"/>
                <w:szCs w:val="20"/>
              </w:rPr>
              <w:t xml:space="preserve"> the same way; the opening of T5 put</w:t>
            </w:r>
            <w:r w:rsidR="00002919">
              <w:rPr>
                <w:rFonts w:ascii="Arial" w:hAnsi="Arial" w:cs="Arial"/>
                <w:sz w:val="18"/>
                <w:szCs w:val="20"/>
              </w:rPr>
              <w:t xml:space="preserve"> </w:t>
            </w:r>
            <w:r w:rsidR="001576F2">
              <w:rPr>
                <w:rFonts w:ascii="Arial" w:hAnsi="Arial" w:cs="Arial"/>
                <w:sz w:val="18"/>
                <w:szCs w:val="20"/>
              </w:rPr>
              <w:t xml:space="preserve">BAA under pressure </w:t>
            </w:r>
            <w:r w:rsidR="008A2EBA">
              <w:rPr>
                <w:rFonts w:ascii="Arial" w:hAnsi="Arial" w:cs="Arial"/>
                <w:sz w:val="18"/>
                <w:szCs w:val="20"/>
              </w:rPr>
              <w:t xml:space="preserve">to open T2 </w:t>
            </w:r>
          </w:p>
        </w:tc>
        <w:tc>
          <w:tcPr>
            <w:tcW w:w="2835" w:type="dxa"/>
            <w:tcBorders>
              <w:top w:val="double" w:sz="4" w:space="0" w:color="auto"/>
              <w:bottom w:val="single" w:sz="4" w:space="0" w:color="auto"/>
            </w:tcBorders>
          </w:tcPr>
          <w:p w14:paraId="77AB1955" w14:textId="29C2ECFB" w:rsidR="00CD382D" w:rsidRPr="00390B67" w:rsidRDefault="001337FB" w:rsidP="00FD2A81">
            <w:pPr>
              <w:spacing w:line="276" w:lineRule="auto"/>
              <w:ind w:firstLine="0"/>
              <w:jc w:val="left"/>
              <w:rPr>
                <w:rFonts w:ascii="Arial" w:hAnsi="Arial" w:cs="Arial"/>
                <w:sz w:val="18"/>
                <w:szCs w:val="20"/>
              </w:rPr>
            </w:pPr>
            <w:r>
              <w:rPr>
                <w:rFonts w:ascii="Arial" w:hAnsi="Arial" w:cs="Arial"/>
                <w:b/>
                <w:sz w:val="18"/>
                <w:szCs w:val="20"/>
              </w:rPr>
              <w:t>C</w:t>
            </w:r>
            <w:r w:rsidR="00CD382D" w:rsidRPr="00390B67">
              <w:rPr>
                <w:rFonts w:ascii="Arial" w:hAnsi="Arial" w:cs="Arial"/>
                <w:b/>
                <w:sz w:val="18"/>
                <w:szCs w:val="20"/>
              </w:rPr>
              <w:t xml:space="preserve">ost </w:t>
            </w:r>
            <w:r w:rsidR="00DB5138">
              <w:rPr>
                <w:rFonts w:ascii="Arial" w:hAnsi="Arial" w:cs="Arial"/>
                <w:b/>
                <w:sz w:val="18"/>
                <w:szCs w:val="20"/>
              </w:rPr>
              <w:t>evolution</w:t>
            </w:r>
          </w:p>
          <w:p w14:paraId="26AE6480" w14:textId="77777777" w:rsidR="00CD382D" w:rsidRPr="00390B67" w:rsidRDefault="00CD382D" w:rsidP="00CD382D">
            <w:pPr>
              <w:spacing w:line="240" w:lineRule="auto"/>
              <w:ind w:firstLine="0"/>
              <w:jc w:val="left"/>
              <w:rPr>
                <w:rStyle w:val="SubtleReference"/>
                <w:rFonts w:ascii="Arial" w:hAnsi="Arial" w:cs="Arial"/>
                <w:szCs w:val="20"/>
              </w:rPr>
            </w:pPr>
            <w:r w:rsidRPr="00390B67">
              <w:rPr>
                <w:rStyle w:val="SubtleReference"/>
                <w:rFonts w:ascii="Arial" w:hAnsi="Arial" w:cs="Arial"/>
                <w:szCs w:val="20"/>
              </w:rPr>
              <w:t xml:space="preserve">2005, ~ £1.3-1.8bn </w:t>
            </w:r>
          </w:p>
          <w:p w14:paraId="0B524830" w14:textId="77777777" w:rsidR="00CD382D" w:rsidRPr="00390B67" w:rsidRDefault="00CD382D" w:rsidP="00CD382D">
            <w:pPr>
              <w:spacing w:line="240" w:lineRule="auto"/>
              <w:ind w:firstLine="0"/>
              <w:jc w:val="left"/>
              <w:rPr>
                <w:rStyle w:val="SubtleReference"/>
                <w:rFonts w:ascii="Arial" w:hAnsi="Arial" w:cs="Arial"/>
                <w:szCs w:val="20"/>
              </w:rPr>
            </w:pPr>
            <w:r w:rsidRPr="00390B67">
              <w:rPr>
                <w:rStyle w:val="SubtleReference"/>
                <w:rFonts w:ascii="Arial" w:hAnsi="Arial" w:cs="Arial"/>
                <w:szCs w:val="20"/>
              </w:rPr>
              <w:t xml:space="preserve">2006, ~ £2.0bn </w:t>
            </w:r>
          </w:p>
          <w:p w14:paraId="6EA80A10" w14:textId="77777777" w:rsidR="00CD382D" w:rsidRPr="00390B67" w:rsidRDefault="00CD382D" w:rsidP="00CD382D">
            <w:pPr>
              <w:spacing w:line="240" w:lineRule="auto"/>
              <w:ind w:firstLine="0"/>
              <w:jc w:val="left"/>
              <w:rPr>
                <w:rStyle w:val="SubtleReference"/>
                <w:rFonts w:ascii="Arial" w:hAnsi="Arial" w:cs="Arial"/>
                <w:szCs w:val="20"/>
              </w:rPr>
            </w:pPr>
            <w:r w:rsidRPr="00390B67">
              <w:rPr>
                <w:rStyle w:val="SubtleReference"/>
                <w:rFonts w:ascii="Arial" w:hAnsi="Arial" w:cs="Arial"/>
                <w:szCs w:val="20"/>
              </w:rPr>
              <w:t xml:space="preserve">2008, ~ £2.4bn </w:t>
            </w:r>
          </w:p>
          <w:p w14:paraId="2EEC1FB6" w14:textId="3F970398" w:rsidR="00CD382D" w:rsidRPr="00390B67" w:rsidRDefault="00CD382D" w:rsidP="00CD382D">
            <w:pPr>
              <w:spacing w:line="276" w:lineRule="auto"/>
              <w:ind w:firstLine="0"/>
              <w:rPr>
                <w:rFonts w:ascii="Arial" w:hAnsi="Arial" w:cs="Arial"/>
                <w:b/>
                <w:sz w:val="18"/>
                <w:szCs w:val="20"/>
              </w:rPr>
            </w:pPr>
            <w:r w:rsidRPr="00390B67">
              <w:rPr>
                <w:rStyle w:val="SubtleReference"/>
                <w:rFonts w:ascii="Arial" w:hAnsi="Arial" w:cs="Arial"/>
                <w:szCs w:val="20"/>
              </w:rPr>
              <w:t>Final (2015): ~£2.8bn</w:t>
            </w:r>
          </w:p>
        </w:tc>
      </w:tr>
      <w:tr w:rsidR="00CD382D" w:rsidRPr="00390B67" w14:paraId="1E69647C" w14:textId="77777777" w:rsidTr="00585BCA">
        <w:trPr>
          <w:trHeight w:val="825"/>
        </w:trPr>
        <w:tc>
          <w:tcPr>
            <w:tcW w:w="5670" w:type="dxa"/>
            <w:vMerge/>
          </w:tcPr>
          <w:p w14:paraId="26133629" w14:textId="77777777" w:rsidR="00CD382D" w:rsidRPr="00390B67" w:rsidRDefault="00CD382D" w:rsidP="00B33E51">
            <w:pPr>
              <w:spacing w:line="276" w:lineRule="auto"/>
              <w:ind w:left="-108" w:firstLine="0"/>
              <w:rPr>
                <w:rFonts w:ascii="Arial" w:hAnsi="Arial" w:cs="Arial"/>
                <w:b/>
                <w:sz w:val="18"/>
                <w:szCs w:val="20"/>
              </w:rPr>
            </w:pPr>
          </w:p>
        </w:tc>
        <w:tc>
          <w:tcPr>
            <w:tcW w:w="2835" w:type="dxa"/>
            <w:tcBorders>
              <w:top w:val="single" w:sz="4" w:space="0" w:color="auto"/>
              <w:bottom w:val="nil"/>
            </w:tcBorders>
          </w:tcPr>
          <w:p w14:paraId="14DE6052" w14:textId="6FADF383" w:rsidR="00CD382D" w:rsidRPr="00390B67" w:rsidRDefault="001337FB" w:rsidP="00E1571F">
            <w:pPr>
              <w:spacing w:line="240" w:lineRule="auto"/>
              <w:ind w:right="-108" w:firstLine="0"/>
              <w:rPr>
                <w:rStyle w:val="SubtleReference"/>
                <w:rFonts w:ascii="Arial" w:hAnsi="Arial" w:cs="Arial"/>
                <w:szCs w:val="20"/>
              </w:rPr>
            </w:pPr>
            <w:r>
              <w:rPr>
                <w:rFonts w:ascii="Arial" w:hAnsi="Arial" w:cs="Arial"/>
                <w:b/>
                <w:sz w:val="18"/>
                <w:szCs w:val="20"/>
              </w:rPr>
              <w:t xml:space="preserve">Contingency funds </w:t>
            </w:r>
          </w:p>
          <w:p w14:paraId="4A118D5F" w14:textId="360A15BA" w:rsidR="00CD382D" w:rsidRPr="00390B67" w:rsidRDefault="00CD382D" w:rsidP="003132B3">
            <w:pPr>
              <w:spacing w:line="276" w:lineRule="auto"/>
              <w:ind w:firstLine="0"/>
              <w:rPr>
                <w:rFonts w:ascii="Arial" w:hAnsi="Arial" w:cs="Arial"/>
                <w:b/>
                <w:sz w:val="18"/>
                <w:szCs w:val="20"/>
              </w:rPr>
            </w:pPr>
            <w:r w:rsidRPr="00390B67">
              <w:rPr>
                <w:rStyle w:val="SubtleReference"/>
                <w:rFonts w:ascii="Arial" w:hAnsi="Arial" w:cs="Arial"/>
                <w:szCs w:val="20"/>
              </w:rPr>
              <w:t xml:space="preserve">2008, ~£200m </w:t>
            </w:r>
          </w:p>
        </w:tc>
      </w:tr>
      <w:tr w:rsidR="00DA5BBA" w:rsidRPr="00390B67" w14:paraId="3F796BB3" w14:textId="77777777" w:rsidTr="00585BCA">
        <w:trPr>
          <w:trHeight w:val="171"/>
        </w:trPr>
        <w:tc>
          <w:tcPr>
            <w:tcW w:w="5670" w:type="dxa"/>
            <w:vMerge/>
          </w:tcPr>
          <w:p w14:paraId="1E627F04" w14:textId="77777777" w:rsidR="00DA5BBA" w:rsidRPr="00390B67" w:rsidRDefault="00DA5BBA" w:rsidP="00B33E51">
            <w:pPr>
              <w:spacing w:line="276" w:lineRule="auto"/>
              <w:ind w:left="-108" w:firstLine="0"/>
              <w:rPr>
                <w:rFonts w:ascii="Arial" w:hAnsi="Arial" w:cs="Arial"/>
                <w:b/>
                <w:sz w:val="18"/>
                <w:szCs w:val="20"/>
              </w:rPr>
            </w:pPr>
          </w:p>
        </w:tc>
        <w:tc>
          <w:tcPr>
            <w:tcW w:w="2835" w:type="dxa"/>
            <w:tcBorders>
              <w:top w:val="nil"/>
              <w:bottom w:val="single" w:sz="4" w:space="0" w:color="auto"/>
            </w:tcBorders>
          </w:tcPr>
          <w:p w14:paraId="43AF8476" w14:textId="77777777" w:rsidR="00DA5BBA" w:rsidRDefault="00DA5BBA" w:rsidP="00DA5BBA">
            <w:pPr>
              <w:spacing w:line="240" w:lineRule="auto"/>
              <w:ind w:right="-108" w:firstLine="0"/>
              <w:rPr>
                <w:rFonts w:ascii="Arial" w:hAnsi="Arial" w:cs="Arial"/>
                <w:b/>
                <w:sz w:val="18"/>
                <w:szCs w:val="20"/>
              </w:rPr>
            </w:pPr>
          </w:p>
        </w:tc>
      </w:tr>
      <w:tr w:rsidR="00CD382D" w:rsidRPr="00390B67" w14:paraId="75787189" w14:textId="77777777" w:rsidTr="00585BCA">
        <w:trPr>
          <w:trHeight w:val="1550"/>
        </w:trPr>
        <w:tc>
          <w:tcPr>
            <w:tcW w:w="5670" w:type="dxa"/>
            <w:vMerge/>
            <w:tcBorders>
              <w:bottom w:val="double" w:sz="4" w:space="0" w:color="auto"/>
            </w:tcBorders>
          </w:tcPr>
          <w:p w14:paraId="4C409CE6" w14:textId="77777777" w:rsidR="00CD382D" w:rsidRPr="00390B67" w:rsidRDefault="00CD382D" w:rsidP="00B33E51">
            <w:pPr>
              <w:spacing w:line="276" w:lineRule="auto"/>
              <w:ind w:left="-108" w:firstLine="0"/>
              <w:rPr>
                <w:rFonts w:ascii="Arial" w:hAnsi="Arial" w:cs="Arial"/>
                <w:b/>
                <w:sz w:val="18"/>
                <w:szCs w:val="20"/>
              </w:rPr>
            </w:pPr>
          </w:p>
        </w:tc>
        <w:tc>
          <w:tcPr>
            <w:tcW w:w="2835" w:type="dxa"/>
            <w:tcBorders>
              <w:top w:val="single" w:sz="4" w:space="0" w:color="auto"/>
              <w:bottom w:val="double" w:sz="4" w:space="0" w:color="auto"/>
            </w:tcBorders>
          </w:tcPr>
          <w:p w14:paraId="3221EFC6" w14:textId="28A06B70" w:rsidR="00CD382D" w:rsidRPr="00390B67" w:rsidRDefault="003132B3" w:rsidP="00A2510F">
            <w:pPr>
              <w:spacing w:line="276" w:lineRule="auto"/>
              <w:ind w:left="-108" w:firstLine="0"/>
              <w:rPr>
                <w:rStyle w:val="SubtleReference"/>
                <w:rFonts w:ascii="Arial" w:hAnsi="Arial" w:cs="Arial"/>
                <w:szCs w:val="20"/>
              </w:rPr>
            </w:pPr>
            <w:r>
              <w:rPr>
                <w:rFonts w:ascii="Arial" w:hAnsi="Arial" w:cs="Arial"/>
                <w:b/>
                <w:sz w:val="18"/>
                <w:szCs w:val="20"/>
              </w:rPr>
              <w:t>Completion date</w:t>
            </w:r>
            <w:r w:rsidR="00DB5138">
              <w:rPr>
                <w:rFonts w:ascii="Arial" w:hAnsi="Arial" w:cs="Arial"/>
                <w:b/>
                <w:sz w:val="18"/>
                <w:szCs w:val="20"/>
              </w:rPr>
              <w:t xml:space="preserve"> evolution </w:t>
            </w:r>
          </w:p>
          <w:p w14:paraId="75D2DADF" w14:textId="77777777" w:rsidR="00CD382D" w:rsidRPr="00390B67" w:rsidRDefault="00CD382D" w:rsidP="00A2510F">
            <w:pPr>
              <w:spacing w:line="240" w:lineRule="auto"/>
              <w:ind w:left="-108" w:firstLine="0"/>
              <w:jc w:val="left"/>
              <w:rPr>
                <w:rStyle w:val="SubtleReference"/>
                <w:rFonts w:ascii="Arial" w:hAnsi="Arial" w:cs="Arial"/>
                <w:szCs w:val="20"/>
              </w:rPr>
            </w:pPr>
            <w:r w:rsidRPr="00390B67">
              <w:rPr>
                <w:rStyle w:val="SubtleReference"/>
                <w:rFonts w:ascii="Arial" w:hAnsi="Arial" w:cs="Arial"/>
                <w:szCs w:val="20"/>
              </w:rPr>
              <w:t xml:space="preserve">2005, open in 2012 </w:t>
            </w:r>
          </w:p>
          <w:p w14:paraId="3523816B" w14:textId="77777777" w:rsidR="00CD382D" w:rsidRPr="00390B67" w:rsidRDefault="00CD382D" w:rsidP="00A2510F">
            <w:pPr>
              <w:spacing w:line="240" w:lineRule="auto"/>
              <w:ind w:left="-108" w:firstLine="0"/>
              <w:jc w:val="left"/>
              <w:rPr>
                <w:rStyle w:val="SubtleReference"/>
                <w:rFonts w:ascii="Arial" w:hAnsi="Arial" w:cs="Arial"/>
                <w:szCs w:val="20"/>
              </w:rPr>
            </w:pPr>
            <w:r w:rsidRPr="00390B67">
              <w:rPr>
                <w:rStyle w:val="SubtleReference"/>
                <w:rFonts w:ascii="Arial" w:hAnsi="Arial" w:cs="Arial"/>
                <w:szCs w:val="20"/>
              </w:rPr>
              <w:t>2008, open in 2013</w:t>
            </w:r>
          </w:p>
          <w:p w14:paraId="2E28A8A2" w14:textId="77777777" w:rsidR="00CD382D" w:rsidRPr="00390B67" w:rsidRDefault="00CD382D" w:rsidP="00A2510F">
            <w:pPr>
              <w:spacing w:line="240" w:lineRule="auto"/>
              <w:ind w:left="-108" w:firstLine="0"/>
              <w:jc w:val="left"/>
              <w:rPr>
                <w:rStyle w:val="SubtleReference"/>
                <w:rFonts w:ascii="Arial" w:hAnsi="Arial" w:cs="Arial"/>
                <w:szCs w:val="20"/>
              </w:rPr>
            </w:pPr>
          </w:p>
          <w:p w14:paraId="65CFF1B4" w14:textId="0CDCC66C" w:rsidR="00CD382D" w:rsidRPr="00390B67" w:rsidRDefault="00CD382D" w:rsidP="00A2510F">
            <w:pPr>
              <w:spacing w:line="276" w:lineRule="auto"/>
              <w:ind w:left="-108" w:firstLine="0"/>
              <w:rPr>
                <w:rFonts w:ascii="Arial" w:hAnsi="Arial" w:cs="Arial"/>
                <w:b/>
                <w:sz w:val="18"/>
                <w:szCs w:val="20"/>
              </w:rPr>
            </w:pPr>
            <w:r w:rsidRPr="00390B67">
              <w:rPr>
                <w:rStyle w:val="SubtleReference"/>
                <w:rFonts w:ascii="Arial" w:hAnsi="Arial" w:cs="Arial"/>
                <w:szCs w:val="20"/>
              </w:rPr>
              <w:t>Actual completion</w:t>
            </w:r>
            <w:r w:rsidR="005B69C0" w:rsidRPr="00390B67">
              <w:rPr>
                <w:rStyle w:val="SubtleReference"/>
                <w:rFonts w:ascii="Arial" w:hAnsi="Arial" w:cs="Arial"/>
                <w:szCs w:val="20"/>
              </w:rPr>
              <w:t xml:space="preserve"> (1</w:t>
            </w:r>
            <w:r w:rsidR="005B69C0" w:rsidRPr="00390B67">
              <w:rPr>
                <w:rStyle w:val="SubtleReference"/>
                <w:rFonts w:ascii="Arial" w:hAnsi="Arial" w:cs="Arial"/>
                <w:szCs w:val="20"/>
                <w:vertAlign w:val="superscript"/>
              </w:rPr>
              <w:t>st</w:t>
            </w:r>
            <w:r w:rsidR="005B69C0" w:rsidRPr="00390B67">
              <w:rPr>
                <w:rStyle w:val="SubtleReference"/>
                <w:rFonts w:ascii="Arial" w:hAnsi="Arial" w:cs="Arial"/>
                <w:szCs w:val="20"/>
              </w:rPr>
              <w:t xml:space="preserve"> phase)</w:t>
            </w:r>
            <w:r w:rsidRPr="00390B67">
              <w:rPr>
                <w:rStyle w:val="SubtleReference"/>
                <w:rFonts w:ascii="Arial" w:hAnsi="Arial" w:cs="Arial"/>
                <w:szCs w:val="20"/>
              </w:rPr>
              <w:t>: 2014</w:t>
            </w:r>
            <w:r w:rsidR="005B69C0" w:rsidRPr="00390B67">
              <w:rPr>
                <w:rStyle w:val="SubtleReference"/>
                <w:rFonts w:ascii="Arial" w:hAnsi="Arial" w:cs="Arial"/>
                <w:szCs w:val="20"/>
              </w:rPr>
              <w:t>; 2</w:t>
            </w:r>
            <w:r w:rsidR="005B69C0" w:rsidRPr="00390B67">
              <w:rPr>
                <w:rStyle w:val="SubtleReference"/>
                <w:rFonts w:ascii="Arial" w:hAnsi="Arial" w:cs="Arial"/>
                <w:szCs w:val="20"/>
                <w:vertAlign w:val="superscript"/>
              </w:rPr>
              <w:t>nd</w:t>
            </w:r>
            <w:r w:rsidR="005B69C0" w:rsidRPr="00390B67">
              <w:rPr>
                <w:rStyle w:val="SubtleReference"/>
                <w:rFonts w:ascii="Arial" w:hAnsi="Arial" w:cs="Arial"/>
                <w:szCs w:val="20"/>
              </w:rPr>
              <w:t xml:space="preserve"> phase put on hold</w:t>
            </w:r>
          </w:p>
        </w:tc>
      </w:tr>
      <w:tr w:rsidR="00923848" w:rsidRPr="00390B67" w14:paraId="4595B511" w14:textId="33895F5C" w:rsidTr="00585BCA">
        <w:trPr>
          <w:trHeight w:val="963"/>
        </w:trPr>
        <w:tc>
          <w:tcPr>
            <w:tcW w:w="5670" w:type="dxa"/>
            <w:vMerge w:val="restart"/>
            <w:tcBorders>
              <w:top w:val="double" w:sz="4" w:space="0" w:color="auto"/>
            </w:tcBorders>
          </w:tcPr>
          <w:p w14:paraId="7D6FD044" w14:textId="46B5073E" w:rsidR="00923848" w:rsidRPr="00390B67" w:rsidRDefault="00923848" w:rsidP="00B33E51">
            <w:pPr>
              <w:spacing w:line="276" w:lineRule="auto"/>
              <w:ind w:left="-108" w:firstLine="0"/>
              <w:rPr>
                <w:rFonts w:ascii="Arial" w:hAnsi="Arial" w:cs="Arial"/>
                <w:b/>
                <w:sz w:val="18"/>
                <w:szCs w:val="20"/>
              </w:rPr>
            </w:pPr>
            <w:r w:rsidRPr="00390B67">
              <w:rPr>
                <w:rFonts w:ascii="Arial" w:hAnsi="Arial" w:cs="Arial"/>
                <w:b/>
                <w:sz w:val="18"/>
                <w:szCs w:val="20"/>
              </w:rPr>
              <w:t>High-speed 2</w:t>
            </w:r>
            <w:r w:rsidRPr="00390B67">
              <w:rPr>
                <w:rFonts w:ascii="Arial" w:hAnsi="Arial" w:cs="Arial"/>
                <w:sz w:val="18"/>
                <w:szCs w:val="20"/>
              </w:rPr>
              <w:t xml:space="preserve"> </w:t>
            </w:r>
            <w:r w:rsidR="00732E3D">
              <w:rPr>
                <w:rFonts w:ascii="Arial" w:hAnsi="Arial" w:cs="Arial"/>
                <w:sz w:val="18"/>
                <w:szCs w:val="20"/>
                <w:u w:val="single"/>
              </w:rPr>
              <w:t xml:space="preserve">Main </w:t>
            </w:r>
            <w:r w:rsidR="00F43699">
              <w:rPr>
                <w:rFonts w:ascii="Arial" w:hAnsi="Arial" w:cs="Arial"/>
                <w:sz w:val="18"/>
                <w:szCs w:val="20"/>
                <w:u w:val="single"/>
              </w:rPr>
              <w:t>planning</w:t>
            </w:r>
            <w:r w:rsidR="00732E3D">
              <w:rPr>
                <w:rFonts w:ascii="Arial" w:hAnsi="Arial" w:cs="Arial"/>
                <w:sz w:val="18"/>
                <w:szCs w:val="20"/>
                <w:u w:val="single"/>
              </w:rPr>
              <w:t xml:space="preserve"> effort</w:t>
            </w:r>
            <w:r w:rsidRPr="00390B67">
              <w:rPr>
                <w:rFonts w:ascii="Arial" w:hAnsi="Arial" w:cs="Arial"/>
                <w:sz w:val="18"/>
                <w:szCs w:val="20"/>
              </w:rPr>
              <w:t xml:space="preserve"> occurs between 2009 and 2017 (first phase) and 2009-2020 (second phase) (</w:t>
            </w:r>
            <w:r w:rsidRPr="00390B67">
              <w:rPr>
                <w:rFonts w:ascii="Arial" w:hAnsi="Arial" w:cs="Arial"/>
                <w:i/>
                <w:sz w:val="18"/>
                <w:szCs w:val="20"/>
              </w:rPr>
              <w:t xml:space="preserve">as of </w:t>
            </w:r>
            <w:r w:rsidR="00732E3D" w:rsidRPr="00390B67">
              <w:rPr>
                <w:rFonts w:ascii="Arial" w:hAnsi="Arial" w:cs="Arial"/>
                <w:i/>
                <w:sz w:val="18"/>
                <w:szCs w:val="20"/>
              </w:rPr>
              <w:t>201</w:t>
            </w:r>
            <w:r w:rsidR="00732E3D">
              <w:rPr>
                <w:rFonts w:ascii="Arial" w:hAnsi="Arial" w:cs="Arial"/>
                <w:i/>
                <w:sz w:val="18"/>
                <w:szCs w:val="20"/>
              </w:rPr>
              <w:t>7</w:t>
            </w:r>
            <w:r w:rsidRPr="00390B67">
              <w:rPr>
                <w:rFonts w:ascii="Arial" w:hAnsi="Arial" w:cs="Arial"/>
                <w:sz w:val="18"/>
                <w:szCs w:val="20"/>
              </w:rPr>
              <w:t xml:space="preserve">). </w:t>
            </w:r>
            <w:r w:rsidRPr="00390B67">
              <w:rPr>
                <w:rFonts w:ascii="Arial" w:hAnsi="Arial" w:cs="Arial"/>
                <w:sz w:val="18"/>
                <w:szCs w:val="20"/>
                <w:u w:val="single"/>
              </w:rPr>
              <w:t>Prior history</w:t>
            </w:r>
            <w:r w:rsidRPr="00390B67">
              <w:rPr>
                <w:rFonts w:ascii="Arial" w:hAnsi="Arial" w:cs="Arial"/>
                <w:sz w:val="18"/>
                <w:szCs w:val="20"/>
              </w:rPr>
              <w:t xml:space="preserve">: The idea to develop a new national railway gained momentum in 2008 after the financial </w:t>
            </w:r>
            <w:r w:rsidR="00585BCA">
              <w:rPr>
                <w:rFonts w:ascii="Arial" w:hAnsi="Arial" w:cs="Arial"/>
                <w:sz w:val="18"/>
                <w:szCs w:val="20"/>
              </w:rPr>
              <w:t>crisis</w:t>
            </w:r>
            <w:r w:rsidRPr="00390B67">
              <w:rPr>
                <w:rFonts w:ascii="Arial" w:hAnsi="Arial" w:cs="Arial"/>
                <w:sz w:val="18"/>
                <w:szCs w:val="20"/>
              </w:rPr>
              <w:t xml:space="preserve">. In 2009 the UK government created HS2 Ltd, a public agency tasked to </w:t>
            </w:r>
            <w:r w:rsidR="00585BCA">
              <w:rPr>
                <w:rFonts w:ascii="Arial" w:hAnsi="Arial" w:cs="Arial"/>
                <w:sz w:val="18"/>
                <w:szCs w:val="20"/>
              </w:rPr>
              <w:t>plan the scheme</w:t>
            </w:r>
            <w:r w:rsidRPr="00390B67">
              <w:rPr>
                <w:rFonts w:ascii="Arial" w:hAnsi="Arial" w:cs="Arial"/>
                <w:sz w:val="18"/>
                <w:szCs w:val="20"/>
              </w:rPr>
              <w:t xml:space="preserve">. </w:t>
            </w:r>
            <w:r w:rsidRPr="00390B67">
              <w:rPr>
                <w:rFonts w:ascii="Arial" w:hAnsi="Arial" w:cs="Arial"/>
                <w:sz w:val="18"/>
                <w:szCs w:val="20"/>
                <w:u w:val="single"/>
              </w:rPr>
              <w:t>Performance baseline</w:t>
            </w:r>
            <w:r w:rsidRPr="00390B67">
              <w:rPr>
                <w:rFonts w:ascii="Arial" w:hAnsi="Arial" w:cs="Arial"/>
                <w:sz w:val="18"/>
                <w:szCs w:val="20"/>
              </w:rPr>
              <w:t xml:space="preserve">: The initial goal was to open the first </w:t>
            </w:r>
            <w:r w:rsidRPr="00390B67">
              <w:rPr>
                <w:rFonts w:ascii="Arial" w:hAnsi="Arial" w:cs="Arial"/>
                <w:sz w:val="18"/>
                <w:szCs w:val="20"/>
              </w:rPr>
              <w:lastRenderedPageBreak/>
              <w:t xml:space="preserve">phase connecting London and Birmingham (225km) by 2026 and </w:t>
            </w:r>
            <w:r w:rsidR="008F3DC6">
              <w:rPr>
                <w:rFonts w:ascii="Arial" w:hAnsi="Arial" w:cs="Arial"/>
                <w:sz w:val="18"/>
                <w:szCs w:val="20"/>
              </w:rPr>
              <w:t>open</w:t>
            </w:r>
            <w:r w:rsidR="008F3DC6" w:rsidRPr="00390B67">
              <w:rPr>
                <w:rFonts w:ascii="Arial" w:hAnsi="Arial" w:cs="Arial"/>
                <w:sz w:val="18"/>
                <w:szCs w:val="20"/>
              </w:rPr>
              <w:t xml:space="preserve"> </w:t>
            </w:r>
            <w:r w:rsidRPr="00390B67">
              <w:rPr>
                <w:rFonts w:ascii="Arial" w:hAnsi="Arial" w:cs="Arial"/>
                <w:sz w:val="18"/>
                <w:szCs w:val="20"/>
              </w:rPr>
              <w:t xml:space="preserve">a second phase connecting </w:t>
            </w:r>
            <w:r>
              <w:rPr>
                <w:rFonts w:ascii="Arial" w:hAnsi="Arial" w:cs="Arial"/>
                <w:sz w:val="18"/>
                <w:szCs w:val="20"/>
              </w:rPr>
              <w:t xml:space="preserve">Birmingham </w:t>
            </w:r>
            <w:r w:rsidRPr="00390B67">
              <w:rPr>
                <w:rFonts w:ascii="Arial" w:hAnsi="Arial" w:cs="Arial"/>
                <w:sz w:val="18"/>
                <w:szCs w:val="20"/>
              </w:rPr>
              <w:t>to various Northern cities (248km) by 2032/3; in 2015</w:t>
            </w:r>
            <w:r w:rsidR="00585BCA">
              <w:rPr>
                <w:rFonts w:ascii="Arial" w:hAnsi="Arial" w:cs="Arial"/>
                <w:sz w:val="18"/>
                <w:szCs w:val="20"/>
              </w:rPr>
              <w:t>,</w:t>
            </w:r>
            <w:r w:rsidRPr="00390B67">
              <w:rPr>
                <w:rFonts w:ascii="Arial" w:hAnsi="Arial" w:cs="Arial"/>
                <w:sz w:val="18"/>
                <w:szCs w:val="20"/>
              </w:rPr>
              <w:t xml:space="preserve"> scope shifted </w:t>
            </w:r>
            <w:r>
              <w:rPr>
                <w:rFonts w:ascii="Arial" w:hAnsi="Arial" w:cs="Arial"/>
                <w:sz w:val="18"/>
                <w:szCs w:val="20"/>
              </w:rPr>
              <w:t>between the</w:t>
            </w:r>
            <w:r w:rsidRPr="00390B67">
              <w:rPr>
                <w:rFonts w:ascii="Arial" w:hAnsi="Arial" w:cs="Arial"/>
                <w:sz w:val="18"/>
                <w:szCs w:val="20"/>
              </w:rPr>
              <w:t xml:space="preserve"> </w:t>
            </w:r>
            <w:r w:rsidR="00585BCA">
              <w:rPr>
                <w:rFonts w:ascii="Arial" w:hAnsi="Arial" w:cs="Arial"/>
                <w:sz w:val="18"/>
                <w:szCs w:val="20"/>
              </w:rPr>
              <w:t>two</w:t>
            </w:r>
            <w:r>
              <w:rPr>
                <w:rFonts w:ascii="Arial" w:hAnsi="Arial" w:cs="Arial"/>
                <w:sz w:val="18"/>
                <w:szCs w:val="20"/>
              </w:rPr>
              <w:t xml:space="preserve"> </w:t>
            </w:r>
            <w:r w:rsidRPr="00390B67">
              <w:rPr>
                <w:rFonts w:ascii="Arial" w:hAnsi="Arial" w:cs="Arial"/>
                <w:sz w:val="18"/>
                <w:szCs w:val="20"/>
              </w:rPr>
              <w:t>phase</w:t>
            </w:r>
            <w:r>
              <w:rPr>
                <w:rFonts w:ascii="Arial" w:hAnsi="Arial" w:cs="Arial"/>
                <w:sz w:val="18"/>
                <w:szCs w:val="20"/>
              </w:rPr>
              <w:t xml:space="preserve">s and pledges were made to develop </w:t>
            </w:r>
            <w:r w:rsidR="001576F2">
              <w:rPr>
                <w:rFonts w:ascii="Arial" w:hAnsi="Arial" w:cs="Arial"/>
                <w:sz w:val="18"/>
                <w:szCs w:val="20"/>
              </w:rPr>
              <w:t xml:space="preserve">more </w:t>
            </w:r>
            <w:r>
              <w:rPr>
                <w:rFonts w:ascii="Arial" w:hAnsi="Arial" w:cs="Arial"/>
                <w:sz w:val="18"/>
                <w:szCs w:val="20"/>
              </w:rPr>
              <w:t>railway lines</w:t>
            </w:r>
            <w:r w:rsidRPr="00390B67">
              <w:rPr>
                <w:rFonts w:ascii="Arial" w:hAnsi="Arial" w:cs="Arial"/>
                <w:sz w:val="18"/>
                <w:szCs w:val="20"/>
              </w:rPr>
              <w:t>.</w:t>
            </w:r>
            <w:r>
              <w:rPr>
                <w:rFonts w:ascii="Arial" w:hAnsi="Arial" w:cs="Arial"/>
                <w:sz w:val="18"/>
                <w:szCs w:val="20"/>
              </w:rPr>
              <w:t xml:space="preserve"> </w:t>
            </w:r>
            <w:r w:rsidRPr="00390B67">
              <w:rPr>
                <w:rFonts w:ascii="Arial" w:hAnsi="Arial" w:cs="Arial"/>
                <w:sz w:val="18"/>
                <w:szCs w:val="20"/>
                <w:u w:val="single"/>
              </w:rPr>
              <w:t>Context:</w:t>
            </w:r>
            <w:r>
              <w:rPr>
                <w:rFonts w:ascii="Arial" w:hAnsi="Arial" w:cs="Arial"/>
                <w:sz w:val="18"/>
                <w:szCs w:val="20"/>
              </w:rPr>
              <w:t xml:space="preserve"> </w:t>
            </w:r>
            <w:r w:rsidR="00732E3D">
              <w:rPr>
                <w:rFonts w:ascii="Arial" w:hAnsi="Arial" w:cs="Arial"/>
                <w:sz w:val="18"/>
                <w:szCs w:val="20"/>
              </w:rPr>
              <w:t xml:space="preserve">Construction </w:t>
            </w:r>
            <w:r w:rsidR="008F3DC6">
              <w:rPr>
                <w:rFonts w:ascii="Arial" w:hAnsi="Arial" w:cs="Arial"/>
                <w:sz w:val="18"/>
                <w:szCs w:val="20"/>
              </w:rPr>
              <w:t xml:space="preserve">could not </w:t>
            </w:r>
            <w:r>
              <w:rPr>
                <w:rFonts w:ascii="Arial" w:hAnsi="Arial" w:cs="Arial"/>
                <w:sz w:val="18"/>
                <w:szCs w:val="20"/>
              </w:rPr>
              <w:t>start before</w:t>
            </w:r>
            <w:r w:rsidRPr="00390B67">
              <w:rPr>
                <w:rFonts w:ascii="Arial" w:hAnsi="Arial" w:cs="Arial"/>
                <w:sz w:val="18"/>
                <w:szCs w:val="20"/>
              </w:rPr>
              <w:t xml:space="preserve"> government acquire</w:t>
            </w:r>
            <w:r w:rsidR="008F3DC6">
              <w:rPr>
                <w:rFonts w:ascii="Arial" w:hAnsi="Arial" w:cs="Arial"/>
                <w:sz w:val="18"/>
                <w:szCs w:val="20"/>
              </w:rPr>
              <w:t>d</w:t>
            </w:r>
            <w:r w:rsidRPr="00390B67">
              <w:rPr>
                <w:rFonts w:ascii="Arial" w:hAnsi="Arial" w:cs="Arial"/>
                <w:sz w:val="18"/>
                <w:szCs w:val="20"/>
              </w:rPr>
              <w:t xml:space="preserve"> from the UK Parliament the power to force land sales. </w:t>
            </w:r>
            <w:r w:rsidR="008F3DC6">
              <w:rPr>
                <w:rFonts w:ascii="Arial" w:hAnsi="Arial" w:cs="Arial"/>
                <w:sz w:val="18"/>
                <w:szCs w:val="20"/>
              </w:rPr>
              <w:t>Planning</w:t>
            </w:r>
            <w:r w:rsidRPr="00390B67">
              <w:rPr>
                <w:rFonts w:ascii="Arial" w:hAnsi="Arial" w:cs="Arial"/>
                <w:sz w:val="18"/>
                <w:szCs w:val="20"/>
              </w:rPr>
              <w:t xml:space="preserve"> unfolded under </w:t>
            </w:r>
            <w:r w:rsidR="00732E3D">
              <w:rPr>
                <w:rFonts w:ascii="Arial" w:hAnsi="Arial" w:cs="Arial"/>
                <w:sz w:val="18"/>
                <w:szCs w:val="20"/>
              </w:rPr>
              <w:t xml:space="preserve">pledges that </w:t>
            </w:r>
            <w:r w:rsidR="008F3DC6">
              <w:rPr>
                <w:rFonts w:ascii="Arial" w:hAnsi="Arial" w:cs="Arial"/>
                <w:sz w:val="18"/>
                <w:szCs w:val="20"/>
              </w:rPr>
              <w:t>the</w:t>
            </w:r>
            <w:r w:rsidRPr="00390B67">
              <w:rPr>
                <w:rFonts w:ascii="Arial" w:hAnsi="Arial" w:cs="Arial"/>
                <w:sz w:val="18"/>
                <w:szCs w:val="20"/>
              </w:rPr>
              <w:t xml:space="preserve"> </w:t>
            </w:r>
            <w:r w:rsidR="00732E3D" w:rsidRPr="00390B67">
              <w:rPr>
                <w:rFonts w:ascii="Arial" w:hAnsi="Arial" w:cs="Arial"/>
                <w:sz w:val="18"/>
                <w:szCs w:val="20"/>
              </w:rPr>
              <w:t>p</w:t>
            </w:r>
            <w:r w:rsidR="00732E3D">
              <w:rPr>
                <w:rFonts w:ascii="Arial" w:hAnsi="Arial" w:cs="Arial"/>
                <w:sz w:val="18"/>
                <w:szCs w:val="20"/>
              </w:rPr>
              <w:t>lans</w:t>
            </w:r>
            <w:r w:rsidR="00732E3D" w:rsidRPr="00390B67">
              <w:rPr>
                <w:rFonts w:ascii="Arial" w:hAnsi="Arial" w:cs="Arial"/>
                <w:sz w:val="18"/>
                <w:szCs w:val="20"/>
              </w:rPr>
              <w:t xml:space="preserve"> </w:t>
            </w:r>
            <w:r w:rsidRPr="00390B67">
              <w:rPr>
                <w:rFonts w:ascii="Arial" w:hAnsi="Arial" w:cs="Arial"/>
                <w:sz w:val="18"/>
                <w:szCs w:val="20"/>
              </w:rPr>
              <w:t xml:space="preserve">for the first phase </w:t>
            </w:r>
            <w:r w:rsidR="00107181">
              <w:rPr>
                <w:rFonts w:ascii="Arial" w:hAnsi="Arial" w:cs="Arial"/>
                <w:sz w:val="18"/>
                <w:szCs w:val="20"/>
              </w:rPr>
              <w:t xml:space="preserve">would be </w:t>
            </w:r>
            <w:r w:rsidRPr="00390B67">
              <w:rPr>
                <w:rFonts w:ascii="Arial" w:hAnsi="Arial" w:cs="Arial"/>
                <w:sz w:val="18"/>
                <w:szCs w:val="20"/>
              </w:rPr>
              <w:t xml:space="preserve">approved </w:t>
            </w:r>
            <w:r w:rsidR="008F3DC6">
              <w:rPr>
                <w:rFonts w:ascii="Arial" w:hAnsi="Arial" w:cs="Arial"/>
                <w:sz w:val="18"/>
                <w:szCs w:val="20"/>
              </w:rPr>
              <w:t xml:space="preserve">by Parliament </w:t>
            </w:r>
            <w:r w:rsidRPr="00390B67">
              <w:rPr>
                <w:rFonts w:ascii="Arial" w:hAnsi="Arial" w:cs="Arial"/>
                <w:sz w:val="18"/>
                <w:szCs w:val="20"/>
              </w:rPr>
              <w:t xml:space="preserve">before the 2015 </w:t>
            </w:r>
            <w:r w:rsidR="008F3DC6">
              <w:rPr>
                <w:rFonts w:ascii="Arial" w:hAnsi="Arial" w:cs="Arial"/>
                <w:sz w:val="18"/>
                <w:szCs w:val="20"/>
              </w:rPr>
              <w:t xml:space="preserve">general </w:t>
            </w:r>
            <w:r w:rsidRPr="00390B67">
              <w:rPr>
                <w:rFonts w:ascii="Arial" w:hAnsi="Arial" w:cs="Arial"/>
                <w:sz w:val="18"/>
                <w:szCs w:val="20"/>
              </w:rPr>
              <w:t xml:space="preserve">elections; the </w:t>
            </w:r>
            <w:r w:rsidR="00732E3D" w:rsidRPr="00390B67">
              <w:rPr>
                <w:rFonts w:ascii="Arial" w:hAnsi="Arial" w:cs="Arial"/>
                <w:sz w:val="18"/>
                <w:szCs w:val="20"/>
              </w:rPr>
              <w:t>p</w:t>
            </w:r>
            <w:r w:rsidR="00732E3D">
              <w:rPr>
                <w:rFonts w:ascii="Arial" w:hAnsi="Arial" w:cs="Arial"/>
                <w:sz w:val="18"/>
                <w:szCs w:val="20"/>
              </w:rPr>
              <w:t>lans for the first phase were</w:t>
            </w:r>
            <w:r w:rsidR="00732E3D" w:rsidRPr="00390B67">
              <w:rPr>
                <w:rFonts w:ascii="Arial" w:hAnsi="Arial" w:cs="Arial"/>
                <w:sz w:val="18"/>
                <w:szCs w:val="20"/>
              </w:rPr>
              <w:t xml:space="preserve"> </w:t>
            </w:r>
            <w:r w:rsidR="00D24CE5">
              <w:rPr>
                <w:rFonts w:ascii="Arial" w:hAnsi="Arial" w:cs="Arial"/>
                <w:sz w:val="18"/>
                <w:szCs w:val="20"/>
              </w:rPr>
              <w:t xml:space="preserve">finally </w:t>
            </w:r>
            <w:r w:rsidR="008F3DC6">
              <w:rPr>
                <w:rFonts w:ascii="Arial" w:hAnsi="Arial" w:cs="Arial"/>
                <w:sz w:val="18"/>
                <w:szCs w:val="20"/>
              </w:rPr>
              <w:t>approved</w:t>
            </w:r>
            <w:r w:rsidR="00D24CE5">
              <w:rPr>
                <w:rFonts w:ascii="Arial" w:hAnsi="Arial" w:cs="Arial"/>
                <w:sz w:val="18"/>
                <w:szCs w:val="20"/>
              </w:rPr>
              <w:t xml:space="preserve"> two years late</w:t>
            </w:r>
            <w:r w:rsidR="008F3DC6">
              <w:rPr>
                <w:rFonts w:ascii="Arial" w:hAnsi="Arial" w:cs="Arial"/>
                <w:sz w:val="18"/>
                <w:szCs w:val="20"/>
              </w:rPr>
              <w:t xml:space="preserve"> in March </w:t>
            </w:r>
            <w:r w:rsidRPr="00390B67">
              <w:rPr>
                <w:rFonts w:ascii="Arial" w:hAnsi="Arial" w:cs="Arial"/>
                <w:sz w:val="18"/>
                <w:szCs w:val="20"/>
              </w:rPr>
              <w:t>2017.</w:t>
            </w:r>
          </w:p>
        </w:tc>
        <w:tc>
          <w:tcPr>
            <w:tcW w:w="2835" w:type="dxa"/>
            <w:tcBorders>
              <w:top w:val="double" w:sz="4" w:space="0" w:color="auto"/>
              <w:bottom w:val="nil"/>
            </w:tcBorders>
          </w:tcPr>
          <w:p w14:paraId="50300C5B" w14:textId="29E39D02" w:rsidR="00923848" w:rsidRPr="00390B67" w:rsidRDefault="00923848" w:rsidP="00A2510F">
            <w:pPr>
              <w:spacing w:line="276" w:lineRule="auto"/>
              <w:ind w:left="-108" w:firstLine="0"/>
              <w:jc w:val="left"/>
              <w:rPr>
                <w:rStyle w:val="SubtleReference"/>
                <w:rFonts w:ascii="Arial" w:hAnsi="Arial" w:cs="Arial"/>
                <w:szCs w:val="20"/>
                <w:lang w:eastAsia="en-GB"/>
              </w:rPr>
            </w:pPr>
            <w:r>
              <w:rPr>
                <w:rFonts w:ascii="Arial" w:hAnsi="Arial" w:cs="Arial"/>
                <w:b/>
                <w:sz w:val="18"/>
                <w:szCs w:val="20"/>
              </w:rPr>
              <w:lastRenderedPageBreak/>
              <w:t>C</w:t>
            </w:r>
            <w:r w:rsidRPr="00390B67">
              <w:rPr>
                <w:rFonts w:ascii="Arial" w:hAnsi="Arial" w:cs="Arial"/>
                <w:b/>
                <w:sz w:val="18"/>
                <w:szCs w:val="20"/>
              </w:rPr>
              <w:t>ost</w:t>
            </w:r>
            <w:r>
              <w:rPr>
                <w:rFonts w:ascii="Arial" w:hAnsi="Arial" w:cs="Arial"/>
                <w:b/>
                <w:sz w:val="18"/>
                <w:szCs w:val="20"/>
              </w:rPr>
              <w:t xml:space="preserve"> </w:t>
            </w:r>
            <w:r w:rsidR="00107181">
              <w:rPr>
                <w:rFonts w:ascii="Arial" w:hAnsi="Arial" w:cs="Arial"/>
                <w:b/>
                <w:sz w:val="18"/>
                <w:szCs w:val="20"/>
              </w:rPr>
              <w:t>evolution</w:t>
            </w:r>
            <w:r w:rsidR="00107181" w:rsidRPr="00390B67">
              <w:rPr>
                <w:rFonts w:ascii="Arial" w:hAnsi="Arial" w:cs="Arial"/>
                <w:b/>
                <w:sz w:val="18"/>
                <w:szCs w:val="20"/>
              </w:rPr>
              <w:t xml:space="preserve"> </w:t>
            </w:r>
            <w:r w:rsidR="00107181" w:rsidRPr="00390B67">
              <w:rPr>
                <w:rFonts w:ascii="Arial" w:hAnsi="Arial" w:cs="Arial"/>
                <w:sz w:val="18"/>
                <w:szCs w:val="20"/>
              </w:rPr>
              <w:t xml:space="preserve"> </w:t>
            </w:r>
            <w:r w:rsidRPr="00390B67">
              <w:rPr>
                <w:rFonts w:ascii="Arial" w:hAnsi="Arial" w:cs="Arial"/>
                <w:sz w:val="18"/>
                <w:szCs w:val="20"/>
              </w:rPr>
              <w:t>(10/11 prices)</w:t>
            </w:r>
          </w:p>
          <w:p w14:paraId="5E56E269" w14:textId="54E70E01" w:rsidR="00923848" w:rsidRPr="00390B67" w:rsidRDefault="00923848" w:rsidP="00A2510F">
            <w:pPr>
              <w:spacing w:line="240" w:lineRule="auto"/>
              <w:ind w:left="-108" w:hanging="4"/>
              <w:jc w:val="left"/>
              <w:rPr>
                <w:rStyle w:val="SubtleReference"/>
                <w:rFonts w:ascii="Arial" w:hAnsi="Arial" w:cs="Arial"/>
                <w:szCs w:val="20"/>
              </w:rPr>
            </w:pPr>
            <w:r w:rsidRPr="00390B67">
              <w:rPr>
                <w:rStyle w:val="SubtleReference"/>
                <w:rFonts w:ascii="Arial" w:hAnsi="Arial" w:cs="Arial"/>
                <w:szCs w:val="20"/>
              </w:rPr>
              <w:t xml:space="preserve">2010,~ £22.7bn </w:t>
            </w:r>
          </w:p>
          <w:p w14:paraId="4638D0CD" w14:textId="283F20AF" w:rsidR="00923848" w:rsidRPr="00390B67" w:rsidRDefault="00923848" w:rsidP="00A2510F">
            <w:pPr>
              <w:spacing w:line="240" w:lineRule="auto"/>
              <w:ind w:left="-108" w:hanging="4"/>
              <w:jc w:val="left"/>
              <w:rPr>
                <w:rStyle w:val="SubtleReference"/>
                <w:rFonts w:ascii="Arial" w:hAnsi="Arial" w:cs="Arial"/>
                <w:szCs w:val="20"/>
              </w:rPr>
            </w:pPr>
            <w:r w:rsidRPr="00390B67">
              <w:rPr>
                <w:rStyle w:val="SubtleReference"/>
                <w:rFonts w:ascii="Arial" w:hAnsi="Arial" w:cs="Arial"/>
                <w:szCs w:val="20"/>
              </w:rPr>
              <w:t>2012,~ £22.7-27.6bn +£5.8bn (train cars)</w:t>
            </w:r>
          </w:p>
          <w:p w14:paraId="685B541C" w14:textId="6BAC3D91" w:rsidR="00923848" w:rsidRPr="00390B67" w:rsidRDefault="00923848" w:rsidP="00A2510F">
            <w:pPr>
              <w:spacing w:line="276" w:lineRule="auto"/>
              <w:ind w:left="-108" w:firstLine="0"/>
              <w:rPr>
                <w:rStyle w:val="SubtleReference"/>
                <w:rFonts w:ascii="Arial" w:hAnsi="Arial" w:cs="Arial"/>
                <w:szCs w:val="20"/>
              </w:rPr>
            </w:pPr>
            <w:r w:rsidRPr="00390B67">
              <w:rPr>
                <w:rStyle w:val="SubtleReference"/>
                <w:rFonts w:ascii="Arial" w:hAnsi="Arial" w:cs="Arial"/>
                <w:szCs w:val="20"/>
              </w:rPr>
              <w:t>2014,~£28.2bn+</w:t>
            </w:r>
            <w:r w:rsidR="00053740">
              <w:rPr>
                <w:rStyle w:val="SubtleReference"/>
                <w:rFonts w:ascii="Arial" w:hAnsi="Arial" w:cs="Arial"/>
                <w:szCs w:val="20"/>
              </w:rPr>
              <w:t>£</w:t>
            </w:r>
            <w:r w:rsidRPr="00390B67">
              <w:rPr>
                <w:rStyle w:val="SubtleReference"/>
                <w:rFonts w:ascii="Arial" w:hAnsi="Arial" w:cs="Arial"/>
                <w:szCs w:val="20"/>
              </w:rPr>
              <w:t>6</w:t>
            </w:r>
            <w:r w:rsidR="00053740">
              <w:rPr>
                <w:rStyle w:val="SubtleReference"/>
                <w:rFonts w:ascii="Arial" w:hAnsi="Arial" w:cs="Arial"/>
                <w:szCs w:val="20"/>
              </w:rPr>
              <w:t>.0</w:t>
            </w:r>
            <w:r w:rsidRPr="00390B67">
              <w:rPr>
                <w:rStyle w:val="SubtleReference"/>
                <w:rFonts w:ascii="Arial" w:hAnsi="Arial" w:cs="Arial"/>
                <w:szCs w:val="20"/>
              </w:rPr>
              <w:t>bn(train cars)</w:t>
            </w:r>
          </w:p>
          <w:p w14:paraId="381C28E2" w14:textId="68F6C74B" w:rsidR="00923848" w:rsidRPr="00390B67" w:rsidRDefault="00923848" w:rsidP="00A2510F">
            <w:pPr>
              <w:spacing w:line="276" w:lineRule="auto"/>
              <w:ind w:left="-108" w:firstLine="0"/>
              <w:rPr>
                <w:rFonts w:ascii="Arial" w:hAnsi="Arial" w:cs="Arial"/>
                <w:b/>
                <w:sz w:val="18"/>
                <w:szCs w:val="20"/>
              </w:rPr>
            </w:pPr>
            <w:r w:rsidRPr="00390B67">
              <w:rPr>
                <w:rStyle w:val="SubtleReference"/>
                <w:rFonts w:ascii="Arial" w:hAnsi="Arial" w:cs="Arial"/>
                <w:szCs w:val="20"/>
              </w:rPr>
              <w:t>201</w:t>
            </w:r>
            <w:r w:rsidR="001576F2">
              <w:rPr>
                <w:rStyle w:val="SubtleReference"/>
                <w:rFonts w:ascii="Arial" w:hAnsi="Arial" w:cs="Arial"/>
                <w:szCs w:val="20"/>
              </w:rPr>
              <w:t>7</w:t>
            </w:r>
            <w:r w:rsidRPr="00390B67">
              <w:rPr>
                <w:rStyle w:val="SubtleReference"/>
                <w:rFonts w:ascii="Arial" w:hAnsi="Arial" w:cs="Arial"/>
                <w:szCs w:val="20"/>
              </w:rPr>
              <w:t>,~£3</w:t>
            </w:r>
            <w:r w:rsidR="001576F2">
              <w:rPr>
                <w:rStyle w:val="SubtleReference"/>
                <w:rFonts w:ascii="Arial" w:hAnsi="Arial" w:cs="Arial"/>
                <w:szCs w:val="20"/>
              </w:rPr>
              <w:t>7-40</w:t>
            </w:r>
            <w:r w:rsidRPr="00390B67">
              <w:rPr>
                <w:rStyle w:val="SubtleReference"/>
                <w:rFonts w:ascii="Arial" w:hAnsi="Arial" w:cs="Arial"/>
                <w:szCs w:val="20"/>
              </w:rPr>
              <w:t>bn+£6.5bn(train cars)</w:t>
            </w:r>
          </w:p>
        </w:tc>
      </w:tr>
      <w:tr w:rsidR="00923848" w:rsidRPr="00390B67" w14:paraId="3EFE6802" w14:textId="77777777" w:rsidTr="00585BCA">
        <w:trPr>
          <w:trHeight w:val="938"/>
        </w:trPr>
        <w:tc>
          <w:tcPr>
            <w:tcW w:w="5670" w:type="dxa"/>
            <w:vMerge/>
          </w:tcPr>
          <w:p w14:paraId="68950518" w14:textId="77777777" w:rsidR="00923848" w:rsidRPr="00390B67" w:rsidRDefault="00923848" w:rsidP="00534DB9">
            <w:pPr>
              <w:spacing w:line="276" w:lineRule="auto"/>
              <w:ind w:firstLine="0"/>
              <w:rPr>
                <w:rFonts w:ascii="Arial" w:hAnsi="Arial" w:cs="Arial"/>
                <w:b/>
                <w:sz w:val="18"/>
                <w:szCs w:val="20"/>
              </w:rPr>
            </w:pPr>
          </w:p>
        </w:tc>
        <w:tc>
          <w:tcPr>
            <w:tcW w:w="2835" w:type="dxa"/>
            <w:tcBorders>
              <w:top w:val="single" w:sz="4" w:space="0" w:color="auto"/>
              <w:bottom w:val="single" w:sz="4" w:space="0" w:color="auto"/>
              <w:right w:val="single" w:sz="4" w:space="0" w:color="auto"/>
            </w:tcBorders>
          </w:tcPr>
          <w:p w14:paraId="4B4A681F" w14:textId="5D0EC6D7" w:rsidR="00923848" w:rsidRPr="00390B67" w:rsidRDefault="00923848" w:rsidP="00053740">
            <w:pPr>
              <w:spacing w:line="240" w:lineRule="auto"/>
              <w:ind w:left="-108" w:right="-108" w:firstLine="0"/>
              <w:jc w:val="left"/>
              <w:rPr>
                <w:rStyle w:val="SubtleReference"/>
                <w:rFonts w:ascii="Arial" w:hAnsi="Arial" w:cs="Arial"/>
                <w:szCs w:val="20"/>
                <w:lang w:eastAsia="en-GB"/>
              </w:rPr>
            </w:pPr>
            <w:r>
              <w:rPr>
                <w:rFonts w:ascii="Arial" w:hAnsi="Arial" w:cs="Arial"/>
                <w:b/>
                <w:sz w:val="18"/>
                <w:szCs w:val="20"/>
              </w:rPr>
              <w:t>Contingency</w:t>
            </w:r>
            <w:r w:rsidR="001576F2">
              <w:rPr>
                <w:rFonts w:ascii="Arial" w:hAnsi="Arial" w:cs="Arial"/>
                <w:b/>
                <w:sz w:val="18"/>
                <w:szCs w:val="20"/>
              </w:rPr>
              <w:t xml:space="preserve"> funds</w:t>
            </w:r>
            <w:r>
              <w:rPr>
                <w:rFonts w:ascii="Arial" w:hAnsi="Arial" w:cs="Arial"/>
                <w:b/>
                <w:sz w:val="18"/>
                <w:szCs w:val="20"/>
              </w:rPr>
              <w:t xml:space="preserve"> </w:t>
            </w:r>
            <w:r w:rsidRPr="00390B67">
              <w:rPr>
                <w:rFonts w:ascii="Arial" w:hAnsi="Arial" w:cs="Arial"/>
                <w:sz w:val="18"/>
                <w:szCs w:val="20"/>
              </w:rPr>
              <w:t>(10/11 prices)</w:t>
            </w:r>
          </w:p>
          <w:p w14:paraId="11CA02C1" w14:textId="3077C25E" w:rsidR="00923848" w:rsidRPr="00390B67" w:rsidRDefault="00923848" w:rsidP="00A2510F">
            <w:pPr>
              <w:spacing w:line="240" w:lineRule="auto"/>
              <w:ind w:left="-108" w:firstLine="0"/>
              <w:jc w:val="left"/>
              <w:rPr>
                <w:rStyle w:val="SubtleReference"/>
                <w:rFonts w:ascii="Arial" w:hAnsi="Arial" w:cs="Arial"/>
                <w:szCs w:val="20"/>
              </w:rPr>
            </w:pPr>
            <w:r w:rsidRPr="00390B67">
              <w:rPr>
                <w:rStyle w:val="SubtleReference"/>
                <w:rFonts w:ascii="Arial" w:hAnsi="Arial" w:cs="Arial"/>
                <w:szCs w:val="20"/>
              </w:rPr>
              <w:t xml:space="preserve">2010, ~£7bn </w:t>
            </w:r>
          </w:p>
          <w:p w14:paraId="1AEEFF1F" w14:textId="60F89F15" w:rsidR="00923848" w:rsidRDefault="00923848" w:rsidP="00053740">
            <w:pPr>
              <w:spacing w:line="240" w:lineRule="auto"/>
              <w:ind w:left="-108" w:right="-108" w:firstLine="0"/>
              <w:rPr>
                <w:rStyle w:val="SubtleReference"/>
                <w:rFonts w:ascii="Arial" w:hAnsi="Arial" w:cs="Arial"/>
                <w:szCs w:val="20"/>
              </w:rPr>
            </w:pPr>
            <w:r w:rsidRPr="00390B67">
              <w:rPr>
                <w:rStyle w:val="SubtleReference"/>
                <w:rFonts w:ascii="Arial" w:hAnsi="Arial" w:cs="Arial"/>
                <w:szCs w:val="20"/>
              </w:rPr>
              <w:t>2013</w:t>
            </w:r>
            <w:r w:rsidR="001576F2">
              <w:rPr>
                <w:rStyle w:val="SubtleReference"/>
                <w:rFonts w:ascii="Arial" w:hAnsi="Arial" w:cs="Arial"/>
                <w:szCs w:val="20"/>
              </w:rPr>
              <w:t>,</w:t>
            </w:r>
            <w:r w:rsidRPr="00390B67">
              <w:rPr>
                <w:rStyle w:val="SubtleReference"/>
                <w:rFonts w:ascii="Arial" w:hAnsi="Arial" w:cs="Arial"/>
                <w:szCs w:val="20"/>
              </w:rPr>
              <w:t xml:space="preserve"> ~ £14.4bn </w:t>
            </w:r>
          </w:p>
          <w:p w14:paraId="37F14C07" w14:textId="30DD9967" w:rsidR="001576F2" w:rsidRPr="00390B67" w:rsidRDefault="001576F2" w:rsidP="00053740">
            <w:pPr>
              <w:spacing w:line="240" w:lineRule="auto"/>
              <w:ind w:left="-108" w:right="-108" w:firstLine="0"/>
              <w:rPr>
                <w:rFonts w:ascii="Arial" w:hAnsi="Arial" w:cs="Arial"/>
                <w:b/>
                <w:sz w:val="18"/>
                <w:szCs w:val="20"/>
              </w:rPr>
            </w:pPr>
            <w:r>
              <w:rPr>
                <w:rStyle w:val="SubtleReference"/>
                <w:rFonts w:ascii="Arial" w:hAnsi="Arial" w:cs="Arial"/>
                <w:szCs w:val="20"/>
              </w:rPr>
              <w:t>2017, ~£ 5.0-8.0bn</w:t>
            </w:r>
          </w:p>
        </w:tc>
      </w:tr>
      <w:tr w:rsidR="00923848" w:rsidRPr="00390B67" w14:paraId="7239E4A3" w14:textId="77777777" w:rsidTr="00585BCA">
        <w:trPr>
          <w:trHeight w:val="810"/>
        </w:trPr>
        <w:tc>
          <w:tcPr>
            <w:tcW w:w="5670" w:type="dxa"/>
            <w:vMerge/>
          </w:tcPr>
          <w:p w14:paraId="5437ADA9" w14:textId="77777777" w:rsidR="00923848" w:rsidRPr="00390B67" w:rsidRDefault="00923848" w:rsidP="00534DB9">
            <w:pPr>
              <w:spacing w:line="276" w:lineRule="auto"/>
              <w:ind w:firstLine="0"/>
              <w:rPr>
                <w:rFonts w:ascii="Arial" w:hAnsi="Arial" w:cs="Arial"/>
                <w:b/>
                <w:sz w:val="18"/>
                <w:szCs w:val="20"/>
              </w:rPr>
            </w:pPr>
          </w:p>
        </w:tc>
        <w:tc>
          <w:tcPr>
            <w:tcW w:w="2835" w:type="dxa"/>
            <w:tcBorders>
              <w:top w:val="single" w:sz="4" w:space="0" w:color="auto"/>
              <w:right w:val="single" w:sz="4" w:space="0" w:color="auto"/>
            </w:tcBorders>
          </w:tcPr>
          <w:p w14:paraId="6945358D" w14:textId="1C463C61" w:rsidR="00923848" w:rsidRPr="00390B67" w:rsidRDefault="001576F2" w:rsidP="00A2510F">
            <w:pPr>
              <w:spacing w:line="276" w:lineRule="auto"/>
              <w:ind w:left="-108" w:firstLine="0"/>
              <w:rPr>
                <w:rFonts w:ascii="Arial" w:hAnsi="Arial" w:cs="Arial"/>
                <w:b/>
                <w:sz w:val="18"/>
                <w:szCs w:val="20"/>
              </w:rPr>
            </w:pPr>
            <w:r>
              <w:rPr>
                <w:rFonts w:ascii="Arial" w:hAnsi="Arial" w:cs="Arial"/>
                <w:b/>
                <w:sz w:val="18"/>
                <w:szCs w:val="20"/>
              </w:rPr>
              <w:t>Completion date</w:t>
            </w:r>
            <w:r w:rsidR="00923848">
              <w:rPr>
                <w:rFonts w:ascii="Arial" w:hAnsi="Arial" w:cs="Arial"/>
                <w:b/>
                <w:sz w:val="18"/>
                <w:szCs w:val="20"/>
              </w:rPr>
              <w:t xml:space="preserve"> </w:t>
            </w:r>
            <w:r w:rsidR="00D24CE5">
              <w:rPr>
                <w:rFonts w:ascii="Arial" w:hAnsi="Arial" w:cs="Arial"/>
                <w:b/>
                <w:sz w:val="18"/>
                <w:szCs w:val="20"/>
              </w:rPr>
              <w:t>evolution</w:t>
            </w:r>
          </w:p>
          <w:p w14:paraId="1F2458B0" w14:textId="77777777" w:rsidR="00923848" w:rsidRPr="00390B67" w:rsidRDefault="00923848" w:rsidP="00A2510F">
            <w:pPr>
              <w:spacing w:line="240" w:lineRule="auto"/>
              <w:ind w:left="-108" w:firstLine="0"/>
              <w:jc w:val="left"/>
              <w:rPr>
                <w:rStyle w:val="SubtleReference"/>
                <w:rFonts w:ascii="Arial" w:hAnsi="Arial" w:cs="Arial"/>
                <w:szCs w:val="20"/>
              </w:rPr>
            </w:pPr>
            <w:r w:rsidRPr="00390B67">
              <w:rPr>
                <w:rStyle w:val="SubtleReference"/>
                <w:rFonts w:ascii="Arial" w:hAnsi="Arial" w:cs="Arial"/>
                <w:szCs w:val="20"/>
              </w:rPr>
              <w:t>2010, planning (1</w:t>
            </w:r>
            <w:r w:rsidRPr="00390B67">
              <w:rPr>
                <w:rStyle w:val="SubtleReference"/>
                <w:rFonts w:ascii="Arial" w:hAnsi="Arial" w:cs="Arial"/>
                <w:szCs w:val="20"/>
                <w:vertAlign w:val="superscript"/>
              </w:rPr>
              <w:t>st</w:t>
            </w:r>
            <w:r w:rsidRPr="00390B67">
              <w:rPr>
                <w:rStyle w:val="SubtleReference"/>
                <w:rFonts w:ascii="Arial" w:hAnsi="Arial" w:cs="Arial"/>
                <w:szCs w:val="20"/>
              </w:rPr>
              <w:t xml:space="preserve"> phase) done by 03/2015</w:t>
            </w:r>
          </w:p>
          <w:p w14:paraId="495D7DEB" w14:textId="77777777" w:rsidR="008F3DC6" w:rsidRDefault="00923848" w:rsidP="00A2510F">
            <w:pPr>
              <w:spacing w:line="240" w:lineRule="auto"/>
              <w:ind w:left="-108" w:firstLine="0"/>
              <w:jc w:val="left"/>
              <w:rPr>
                <w:rStyle w:val="SubtleReference"/>
                <w:rFonts w:ascii="Arial" w:hAnsi="Arial" w:cs="Arial"/>
                <w:szCs w:val="20"/>
              </w:rPr>
            </w:pPr>
            <w:r w:rsidRPr="00390B67">
              <w:rPr>
                <w:rStyle w:val="SubtleReference"/>
                <w:rFonts w:ascii="Arial" w:hAnsi="Arial" w:cs="Arial"/>
                <w:szCs w:val="20"/>
              </w:rPr>
              <w:t>2015, planning (1</w:t>
            </w:r>
            <w:r w:rsidRPr="00390B67">
              <w:rPr>
                <w:rStyle w:val="SubtleReference"/>
                <w:rFonts w:ascii="Arial" w:hAnsi="Arial" w:cs="Arial"/>
                <w:szCs w:val="20"/>
                <w:vertAlign w:val="superscript"/>
              </w:rPr>
              <w:t>st</w:t>
            </w:r>
            <w:r w:rsidRPr="00390B67">
              <w:rPr>
                <w:rStyle w:val="SubtleReference"/>
                <w:rFonts w:ascii="Arial" w:hAnsi="Arial" w:cs="Arial"/>
                <w:szCs w:val="20"/>
              </w:rPr>
              <w:t xml:space="preserve"> phase) </w:t>
            </w:r>
            <w:r w:rsidR="008F3DC6">
              <w:rPr>
                <w:rStyle w:val="SubtleReference"/>
                <w:rFonts w:ascii="Arial" w:hAnsi="Arial" w:cs="Arial"/>
                <w:szCs w:val="20"/>
              </w:rPr>
              <w:t xml:space="preserve">in 2016 </w:t>
            </w:r>
          </w:p>
          <w:p w14:paraId="3929A5B1" w14:textId="77777777" w:rsidR="00923848" w:rsidRDefault="008F3DC6" w:rsidP="00585BCA">
            <w:pPr>
              <w:spacing w:line="240" w:lineRule="auto"/>
              <w:ind w:left="-108" w:firstLine="0"/>
              <w:jc w:val="left"/>
              <w:rPr>
                <w:rStyle w:val="SubtleReference"/>
                <w:rFonts w:ascii="Arial" w:hAnsi="Arial" w:cs="Arial"/>
                <w:szCs w:val="20"/>
              </w:rPr>
            </w:pPr>
            <w:r>
              <w:rPr>
                <w:rStyle w:val="SubtleReference"/>
                <w:rFonts w:ascii="Arial" w:hAnsi="Arial" w:cs="Arial"/>
                <w:szCs w:val="20"/>
              </w:rPr>
              <w:t>2017, planning (1</w:t>
            </w:r>
            <w:r w:rsidRPr="00DB5138">
              <w:rPr>
                <w:rStyle w:val="SubtleReference"/>
                <w:rFonts w:ascii="Arial" w:hAnsi="Arial" w:cs="Arial"/>
                <w:szCs w:val="20"/>
                <w:vertAlign w:val="superscript"/>
              </w:rPr>
              <w:t>st</w:t>
            </w:r>
            <w:r>
              <w:rPr>
                <w:rStyle w:val="SubtleReference"/>
                <w:rFonts w:ascii="Arial" w:hAnsi="Arial" w:cs="Arial"/>
                <w:szCs w:val="20"/>
              </w:rPr>
              <w:t xml:space="preserve"> phase) ends</w:t>
            </w:r>
          </w:p>
          <w:p w14:paraId="770E149E" w14:textId="61863E02" w:rsidR="001576F2" w:rsidRDefault="001576F2" w:rsidP="00585BCA">
            <w:pPr>
              <w:spacing w:line="240" w:lineRule="auto"/>
              <w:ind w:left="-108" w:firstLine="0"/>
              <w:jc w:val="left"/>
              <w:rPr>
                <w:rFonts w:ascii="Arial" w:hAnsi="Arial" w:cs="Arial"/>
                <w:b/>
                <w:sz w:val="18"/>
                <w:szCs w:val="20"/>
              </w:rPr>
            </w:pPr>
            <w:r>
              <w:rPr>
                <w:rStyle w:val="SubtleReference"/>
                <w:rFonts w:ascii="Arial" w:hAnsi="Arial" w:cs="Arial"/>
                <w:szCs w:val="20"/>
              </w:rPr>
              <w:t>Opening dates unmoved</w:t>
            </w:r>
          </w:p>
        </w:tc>
      </w:tr>
    </w:tbl>
    <w:p w14:paraId="45FE035F" w14:textId="77777777" w:rsidR="00981F26" w:rsidRDefault="00981F26" w:rsidP="00833EA9">
      <w:pPr>
        <w:spacing w:line="240" w:lineRule="auto"/>
        <w:ind w:firstLine="0"/>
        <w:rPr>
          <w:b/>
        </w:rPr>
      </w:pPr>
    </w:p>
    <w:p w14:paraId="6D79D02C" w14:textId="77777777" w:rsidR="00D0078A" w:rsidRPr="00012E6C" w:rsidRDefault="0085215E" w:rsidP="00833EA9">
      <w:pPr>
        <w:spacing w:line="240" w:lineRule="auto"/>
        <w:ind w:firstLine="0"/>
      </w:pPr>
      <w:r w:rsidRPr="00012E6C">
        <w:rPr>
          <w:b/>
        </w:rPr>
        <w:t>REFERENCES</w:t>
      </w:r>
    </w:p>
    <w:p w14:paraId="753429FB" w14:textId="77777777" w:rsidR="00D0078A" w:rsidRPr="00585BCA" w:rsidRDefault="00D0078A" w:rsidP="00B33E51">
      <w:pPr>
        <w:pStyle w:val="References"/>
        <w:spacing w:after="0"/>
        <w:ind w:left="284" w:hanging="284"/>
      </w:pPr>
      <w:bookmarkStart w:id="1" w:name="_ENREF_1"/>
      <w:proofErr w:type="spellStart"/>
      <w:r w:rsidRPr="00585BCA">
        <w:t>Altshuler</w:t>
      </w:r>
      <w:proofErr w:type="spellEnd"/>
      <w:r w:rsidRPr="00585BCA">
        <w:t xml:space="preserve">, A.A., D. </w:t>
      </w:r>
      <w:proofErr w:type="spellStart"/>
      <w:r w:rsidRPr="00585BCA">
        <w:t>Luberoff</w:t>
      </w:r>
      <w:proofErr w:type="spellEnd"/>
      <w:r w:rsidRPr="00585BCA">
        <w:t>. 2003. Mega-projects: The changing politics of urban public investment. Brookings Institution Press, Cambridge, MA.</w:t>
      </w:r>
      <w:bookmarkEnd w:id="1"/>
    </w:p>
    <w:p w14:paraId="1FE057E3" w14:textId="77777777" w:rsidR="00560953" w:rsidRPr="00585BCA" w:rsidRDefault="00560953" w:rsidP="00B33E51">
      <w:pPr>
        <w:pStyle w:val="References"/>
        <w:spacing w:after="0"/>
        <w:ind w:left="284" w:hanging="284"/>
      </w:pPr>
      <w:proofErr w:type="gramStart"/>
      <w:r w:rsidRPr="00585BCA">
        <w:t>Baldwin, CY, Clark, KB 2000.</w:t>
      </w:r>
      <w:proofErr w:type="gramEnd"/>
      <w:r w:rsidRPr="00585BCA">
        <w:t xml:space="preserve"> Design Rules: The Power of Modularity. </w:t>
      </w:r>
      <w:proofErr w:type="gramStart"/>
      <w:r w:rsidRPr="00585BCA">
        <w:t>Vol.</w:t>
      </w:r>
      <w:proofErr w:type="gramEnd"/>
      <w:r w:rsidRPr="00585BCA">
        <w:t xml:space="preserve"> I, MIT Press,</w:t>
      </w:r>
    </w:p>
    <w:p w14:paraId="00CB337C" w14:textId="4D871514" w:rsidR="006C1C36" w:rsidRPr="00585BCA" w:rsidRDefault="00560953" w:rsidP="00B33E51">
      <w:pPr>
        <w:pStyle w:val="References"/>
        <w:spacing w:after="0"/>
        <w:ind w:left="284" w:hanging="284"/>
      </w:pPr>
      <w:r w:rsidRPr="00585BCA">
        <w:t xml:space="preserve">    Cambridge, MA.</w:t>
      </w:r>
    </w:p>
    <w:p w14:paraId="1D12FEDF" w14:textId="256CDA35" w:rsidR="00D270A4" w:rsidRPr="00585BCA" w:rsidRDefault="00D270A4" w:rsidP="00B33E51">
      <w:pPr>
        <w:pStyle w:val="References"/>
        <w:spacing w:after="0"/>
        <w:ind w:left="284" w:hanging="284"/>
      </w:pPr>
      <w:proofErr w:type="gramStart"/>
      <w:r w:rsidRPr="00585BCA">
        <w:t>Beck, T.E., Plowman, D.A. 2014.</w:t>
      </w:r>
      <w:proofErr w:type="gramEnd"/>
      <w:r w:rsidRPr="00585BCA">
        <w:t xml:space="preserve"> Temporary, Emergent Interorganizational Collaboration in Unexpected Circumstances: A Study of the Columbia Space Shuttle Response Effort. Organization Science, 25 (4) 1234-1252.</w:t>
      </w:r>
    </w:p>
    <w:p w14:paraId="6E9240CE" w14:textId="77777777" w:rsidR="00F21EEE" w:rsidRPr="00585BCA" w:rsidRDefault="00F21EEE" w:rsidP="00B33E51">
      <w:pPr>
        <w:pStyle w:val="References"/>
        <w:spacing w:after="0"/>
        <w:ind w:left="284" w:hanging="284"/>
      </w:pPr>
      <w:proofErr w:type="spellStart"/>
      <w:r w:rsidRPr="00585BCA">
        <w:t>Biernacki</w:t>
      </w:r>
      <w:proofErr w:type="spellEnd"/>
      <w:r w:rsidRPr="00585BCA">
        <w:t xml:space="preserve">, P., Waldorf, D. (1981). Snowball Sampling: Problems and Techniques of Chain Referral Sampling. </w:t>
      </w:r>
      <w:proofErr w:type="gramStart"/>
      <w:r w:rsidRPr="00585BCA">
        <w:t>Sociological Methods &amp; Research, 10,141-163.</w:t>
      </w:r>
      <w:proofErr w:type="gramEnd"/>
    </w:p>
    <w:p w14:paraId="07C20DA9" w14:textId="77777777" w:rsidR="0016694A" w:rsidRPr="00585BCA" w:rsidRDefault="0016694A" w:rsidP="00B33E51">
      <w:pPr>
        <w:pStyle w:val="References"/>
        <w:spacing w:after="0"/>
        <w:ind w:left="284" w:hanging="284"/>
      </w:pPr>
      <w:proofErr w:type="spellStart"/>
      <w:r w:rsidRPr="00585BCA">
        <w:t>Bruson</w:t>
      </w:r>
      <w:r w:rsidR="004F7B9C" w:rsidRPr="00585BCA">
        <w:t>i</w:t>
      </w:r>
      <w:proofErr w:type="spellEnd"/>
      <w:r w:rsidR="004F7B9C" w:rsidRPr="00585BCA">
        <w:t xml:space="preserve"> S, </w:t>
      </w:r>
      <w:proofErr w:type="spellStart"/>
      <w:r w:rsidR="004F7B9C" w:rsidRPr="00585BCA">
        <w:t>Prencipe</w:t>
      </w:r>
      <w:proofErr w:type="spellEnd"/>
      <w:r w:rsidR="004F7B9C" w:rsidRPr="00585BCA">
        <w:t xml:space="preserve"> A, Pavitt K .2001.</w:t>
      </w:r>
      <w:r w:rsidRPr="00585BCA">
        <w:t xml:space="preserve"> Knowledge specialization, organizational coupling, and the boundaries of the firm: Why do firms know more than they make? Administrative Science Quarterly, 46(4)597–621.</w:t>
      </w:r>
    </w:p>
    <w:p w14:paraId="3A92AFFC" w14:textId="77777777" w:rsidR="00862979" w:rsidRPr="00585BCA" w:rsidRDefault="008959C9" w:rsidP="00B33E51">
      <w:pPr>
        <w:pStyle w:val="References"/>
        <w:spacing w:after="0"/>
        <w:ind w:left="284" w:hanging="284"/>
      </w:pPr>
      <w:proofErr w:type="gramStart"/>
      <w:r w:rsidRPr="00585BCA">
        <w:t>Butcher, L. 2015</w:t>
      </w:r>
      <w:r w:rsidR="00862979" w:rsidRPr="00585BCA">
        <w:t>.</w:t>
      </w:r>
      <w:proofErr w:type="gramEnd"/>
      <w:r w:rsidR="00862979" w:rsidRPr="00585BCA">
        <w:t xml:space="preserve"> Railways: HS2 Phase 1. </w:t>
      </w:r>
      <w:proofErr w:type="gramStart"/>
      <w:r w:rsidR="00862979" w:rsidRPr="00585BCA">
        <w:t>Standard Note 316.</w:t>
      </w:r>
      <w:proofErr w:type="gramEnd"/>
      <w:r w:rsidR="00862979" w:rsidRPr="00585BCA">
        <w:t xml:space="preserve"> House of Commons Library</w:t>
      </w:r>
    </w:p>
    <w:p w14:paraId="17AE94B9" w14:textId="1FB3E9E9" w:rsidR="00AD10BA" w:rsidRPr="00585BCA" w:rsidRDefault="00AD10BA" w:rsidP="00B33E51">
      <w:pPr>
        <w:pStyle w:val="References"/>
        <w:spacing w:after="0"/>
        <w:ind w:left="284" w:hanging="284"/>
      </w:pPr>
      <w:proofErr w:type="spellStart"/>
      <w:r w:rsidRPr="00585BCA">
        <w:t>Cemerer</w:t>
      </w:r>
      <w:proofErr w:type="spellEnd"/>
      <w:r w:rsidRPr="00585BCA">
        <w:t xml:space="preserve">, C., </w:t>
      </w:r>
      <w:proofErr w:type="spellStart"/>
      <w:r w:rsidRPr="00585BCA">
        <w:t>Knez</w:t>
      </w:r>
      <w:proofErr w:type="spellEnd"/>
      <w:r w:rsidRPr="00585BCA">
        <w:t xml:space="preserve">, M. 1996 Coordination, organizational boundaries and </w:t>
      </w:r>
      <w:proofErr w:type="spellStart"/>
      <w:r w:rsidRPr="00585BCA">
        <w:t>fas</w:t>
      </w:r>
      <w:proofErr w:type="spellEnd"/>
      <w:r w:rsidRPr="00585BCA">
        <w:t xml:space="preserve"> in business practices. Industrial and corporate change 5(1) 89-112.</w:t>
      </w:r>
    </w:p>
    <w:p w14:paraId="7E8BC7F7" w14:textId="77777777" w:rsidR="00877BE6" w:rsidRPr="00585BCA" w:rsidRDefault="00877BE6" w:rsidP="00B33E51">
      <w:pPr>
        <w:pStyle w:val="References"/>
        <w:spacing w:after="0"/>
        <w:ind w:left="284" w:hanging="284"/>
      </w:pPr>
      <w:r w:rsidRPr="00585BCA">
        <w:t>Cleland, DI, King, WR 19</w:t>
      </w:r>
      <w:r w:rsidR="000D2DF4" w:rsidRPr="00585BCA">
        <w:t>68</w:t>
      </w:r>
      <w:r w:rsidRPr="00585BCA">
        <w:t xml:space="preserve">. </w:t>
      </w:r>
      <w:proofErr w:type="gramStart"/>
      <w:r w:rsidRPr="00585BCA">
        <w:t>Systems Analysis and Project Management.</w:t>
      </w:r>
      <w:proofErr w:type="gramEnd"/>
      <w:r w:rsidRPr="00585BCA">
        <w:t xml:space="preserve"> McGraw-Hill, </w:t>
      </w:r>
      <w:r w:rsidR="000D2DF4" w:rsidRPr="00585BCA">
        <w:t>NY</w:t>
      </w:r>
      <w:r w:rsidRPr="00585BCA">
        <w:t>.</w:t>
      </w:r>
    </w:p>
    <w:p w14:paraId="4A09C1B0" w14:textId="20255509" w:rsidR="004C1E6D" w:rsidRPr="00585BCA" w:rsidRDefault="004C1E6D" w:rsidP="00B33E51">
      <w:pPr>
        <w:pStyle w:val="References"/>
        <w:spacing w:after="0"/>
        <w:ind w:left="284" w:hanging="284"/>
      </w:pPr>
      <w:proofErr w:type="gramStart"/>
      <w:r w:rsidRPr="00585BCA">
        <w:t>Cohen, MD, March JG, Olsen, JP 1972.</w:t>
      </w:r>
      <w:proofErr w:type="gramEnd"/>
      <w:r w:rsidRPr="00585BCA">
        <w:t xml:space="preserve"> </w:t>
      </w:r>
      <w:proofErr w:type="gramStart"/>
      <w:r w:rsidRPr="00585BCA">
        <w:t>A garbage can model of organizational choice.</w:t>
      </w:r>
      <w:proofErr w:type="gramEnd"/>
      <w:r w:rsidRPr="00585BCA">
        <w:t xml:space="preserve"> </w:t>
      </w:r>
      <w:proofErr w:type="gramStart"/>
      <w:r w:rsidRPr="00585BCA">
        <w:t>Admin.</w:t>
      </w:r>
      <w:proofErr w:type="gramEnd"/>
      <w:r w:rsidRPr="00585BCA">
        <w:t xml:space="preserve"> Sci. Quart. 17(1) 1–25.</w:t>
      </w:r>
    </w:p>
    <w:p w14:paraId="53835287" w14:textId="77777777" w:rsidR="00214B19" w:rsidRPr="00585BCA" w:rsidRDefault="007C5DDA" w:rsidP="00B33E51">
      <w:pPr>
        <w:pStyle w:val="References"/>
        <w:spacing w:after="0"/>
        <w:ind w:left="284" w:hanging="284"/>
      </w:pPr>
      <w:proofErr w:type="gramStart"/>
      <w:r w:rsidRPr="00585BCA">
        <w:t>Coleman, PT</w:t>
      </w:r>
      <w:r w:rsidR="00EF7C9C" w:rsidRPr="00585BCA">
        <w:t>, Ferguson</w:t>
      </w:r>
      <w:r w:rsidRPr="00585BCA">
        <w:t>,</w:t>
      </w:r>
      <w:r w:rsidR="00EF7C9C" w:rsidRPr="00585BCA">
        <w:t xml:space="preserve"> </w:t>
      </w:r>
      <w:r w:rsidRPr="00585BCA">
        <w:t xml:space="preserve">R </w:t>
      </w:r>
      <w:r w:rsidR="00EF7C9C" w:rsidRPr="00585BCA">
        <w:t>2014</w:t>
      </w:r>
      <w:r w:rsidRPr="00585BCA">
        <w:t>.</w:t>
      </w:r>
      <w:proofErr w:type="gramEnd"/>
      <w:r w:rsidR="00EF7C9C" w:rsidRPr="00585BCA">
        <w:t xml:space="preserve"> Making conflict work: Harnessing the power of disagreement. New York: Houghton Mifflin Harcourt.</w:t>
      </w:r>
    </w:p>
    <w:p w14:paraId="63ACF877" w14:textId="6399F707" w:rsidR="00B2049C" w:rsidRPr="00585BCA" w:rsidRDefault="00B2049C" w:rsidP="00B33E51">
      <w:pPr>
        <w:pStyle w:val="References"/>
        <w:spacing w:after="0"/>
        <w:ind w:left="284" w:hanging="284"/>
      </w:pPr>
      <w:proofErr w:type="spellStart"/>
      <w:r w:rsidRPr="00585BCA">
        <w:t>C</w:t>
      </w:r>
      <w:r w:rsidR="002B755C" w:rsidRPr="00585BCA">
        <w:t>o</w:t>
      </w:r>
      <w:r w:rsidRPr="00585BCA">
        <w:t>lfer</w:t>
      </w:r>
      <w:proofErr w:type="spellEnd"/>
      <w:r w:rsidR="002B755C" w:rsidRPr="00585BCA">
        <w:t>, LJ.</w:t>
      </w:r>
      <w:r w:rsidRPr="00585BCA">
        <w:t xml:space="preserve"> </w:t>
      </w:r>
      <w:proofErr w:type="gramStart"/>
      <w:r w:rsidRPr="00585BCA">
        <w:t>Baldwin</w:t>
      </w:r>
      <w:r w:rsidR="002B755C" w:rsidRPr="00585BCA">
        <w:t>, CY</w:t>
      </w:r>
      <w:r w:rsidRPr="00585BCA">
        <w:t xml:space="preserve"> 2016</w:t>
      </w:r>
      <w:r w:rsidR="002B755C" w:rsidRPr="00585BCA">
        <w:t>.</w:t>
      </w:r>
      <w:proofErr w:type="gramEnd"/>
      <w:r w:rsidR="002B755C" w:rsidRPr="00585BCA">
        <w:t xml:space="preserve"> The mirroring hypothesis: theory, evidence, and exceptions. Industrial and Corporate Change 25 (5) 709-738.</w:t>
      </w:r>
    </w:p>
    <w:p w14:paraId="15BBB427" w14:textId="77777777" w:rsidR="00386C68" w:rsidRPr="00585BCA" w:rsidRDefault="00386C68" w:rsidP="00B33E51">
      <w:pPr>
        <w:pStyle w:val="References"/>
        <w:spacing w:after="0"/>
        <w:ind w:left="284" w:hanging="284"/>
      </w:pPr>
      <w:proofErr w:type="spellStart"/>
      <w:r w:rsidRPr="00585BCA">
        <w:t>Cyert</w:t>
      </w:r>
      <w:proofErr w:type="spellEnd"/>
      <w:r w:rsidRPr="00585BCA">
        <w:t xml:space="preserve">, MD, March, JG, 1963. </w:t>
      </w:r>
      <w:proofErr w:type="gramStart"/>
      <w:r w:rsidRPr="00585BCA">
        <w:t xml:space="preserve">A Behavioral Theory of the Firm, </w:t>
      </w:r>
      <w:r w:rsidR="00911FBF" w:rsidRPr="00585BCA">
        <w:t>NJ.</w:t>
      </w:r>
      <w:proofErr w:type="gramEnd"/>
      <w:r w:rsidR="00911FBF" w:rsidRPr="00585BCA">
        <w:t xml:space="preserve"> </w:t>
      </w:r>
      <w:r w:rsidRPr="00585BCA">
        <w:t>Prentice-Hall</w:t>
      </w:r>
    </w:p>
    <w:p w14:paraId="22245A7A" w14:textId="77777777" w:rsidR="006C3769" w:rsidRPr="00585BCA" w:rsidRDefault="006C3769" w:rsidP="00B33E51">
      <w:pPr>
        <w:pStyle w:val="References"/>
        <w:spacing w:after="0"/>
        <w:ind w:left="284" w:hanging="284"/>
      </w:pPr>
      <w:proofErr w:type="gramStart"/>
      <w:r w:rsidRPr="00585BCA">
        <w:t xml:space="preserve">Denis, J-L, </w:t>
      </w:r>
      <w:proofErr w:type="spellStart"/>
      <w:r w:rsidRPr="00585BCA">
        <w:t>Lamothe</w:t>
      </w:r>
      <w:proofErr w:type="spellEnd"/>
      <w:r w:rsidRPr="00585BCA">
        <w:t>, L, Langley, A. 2001.</w:t>
      </w:r>
      <w:proofErr w:type="gramEnd"/>
      <w:r w:rsidRPr="00585BCA">
        <w:t xml:space="preserve"> </w:t>
      </w:r>
      <w:proofErr w:type="gramStart"/>
      <w:r w:rsidRPr="00585BCA">
        <w:t>The dynamics of collective leadership and strategic change in pluralistic organizations.</w:t>
      </w:r>
      <w:proofErr w:type="gramEnd"/>
      <w:r w:rsidRPr="00585BCA">
        <w:t xml:space="preserve"> Academy of Management Journal, 44, 809-837.</w:t>
      </w:r>
    </w:p>
    <w:p w14:paraId="6FAD4A9E" w14:textId="0F35A67C" w:rsidR="003C385D" w:rsidRPr="00585BCA" w:rsidRDefault="003C385D" w:rsidP="00B33E51">
      <w:pPr>
        <w:pStyle w:val="References"/>
        <w:spacing w:after="0"/>
        <w:ind w:left="284" w:hanging="284"/>
      </w:pPr>
      <w:proofErr w:type="gramStart"/>
      <w:r w:rsidRPr="00585BCA">
        <w:t>Denis, J-L, Langley, A, Rouleau, L. 2006.</w:t>
      </w:r>
      <w:proofErr w:type="gramEnd"/>
      <w:r w:rsidRPr="00585BCA">
        <w:t xml:space="preserve"> </w:t>
      </w:r>
      <w:proofErr w:type="gramStart"/>
      <w:r w:rsidRPr="00585BCA">
        <w:t>The power of numbers in strategizing.</w:t>
      </w:r>
      <w:proofErr w:type="gramEnd"/>
      <w:r w:rsidRPr="00585BCA">
        <w:t xml:space="preserve"> Strategic Organization 4(4) 349-377.</w:t>
      </w:r>
    </w:p>
    <w:p w14:paraId="5CD5D84F" w14:textId="77777777" w:rsidR="006C3769" w:rsidRPr="00585BCA" w:rsidRDefault="006C3769" w:rsidP="00B33E51">
      <w:pPr>
        <w:pStyle w:val="References"/>
        <w:spacing w:after="0"/>
        <w:ind w:left="284" w:hanging="284"/>
      </w:pPr>
      <w:proofErr w:type="gramStart"/>
      <w:r w:rsidRPr="00585BCA">
        <w:t xml:space="preserve">Denis, J-L, </w:t>
      </w:r>
      <w:proofErr w:type="spellStart"/>
      <w:r w:rsidRPr="00585BCA">
        <w:t>Dompierre</w:t>
      </w:r>
      <w:proofErr w:type="spellEnd"/>
      <w:r w:rsidRPr="00585BCA">
        <w:t>, G, Langley, A, Rouleau, L, 2011.</w:t>
      </w:r>
      <w:proofErr w:type="gramEnd"/>
      <w:r w:rsidRPr="00585BCA">
        <w:t xml:space="preserve"> Escalating indecision: Between reification and strategic ambiguity. Organization Science, 22, 225-244.</w:t>
      </w:r>
    </w:p>
    <w:p w14:paraId="12D84337" w14:textId="77777777" w:rsidR="00157591" w:rsidRPr="00585BCA" w:rsidRDefault="00157591" w:rsidP="00B33E51">
      <w:pPr>
        <w:pStyle w:val="References"/>
        <w:spacing w:after="0"/>
        <w:ind w:left="284" w:hanging="284"/>
      </w:pPr>
      <w:proofErr w:type="gramStart"/>
      <w:r w:rsidRPr="00585BCA">
        <w:t xml:space="preserve">Dietz, T., </w:t>
      </w:r>
      <w:proofErr w:type="spellStart"/>
      <w:r w:rsidRPr="00585BCA">
        <w:t>Ostrom</w:t>
      </w:r>
      <w:proofErr w:type="spellEnd"/>
      <w:r w:rsidRPr="00585BCA">
        <w:t xml:space="preserve">, </w:t>
      </w:r>
      <w:r w:rsidR="00911FBF" w:rsidRPr="00585BCA">
        <w:t>E. Stern,</w:t>
      </w:r>
      <w:r w:rsidRPr="00585BCA">
        <w:t xml:space="preserve"> </w:t>
      </w:r>
      <w:r w:rsidR="00911FBF" w:rsidRPr="00585BCA">
        <w:t xml:space="preserve">P.C. </w:t>
      </w:r>
      <w:r w:rsidRPr="00585BCA">
        <w:t>2003.</w:t>
      </w:r>
      <w:proofErr w:type="gramEnd"/>
      <w:r w:rsidRPr="00585BCA">
        <w:t xml:space="preserve"> </w:t>
      </w:r>
      <w:proofErr w:type="gramStart"/>
      <w:r w:rsidRPr="00585BCA">
        <w:t>The Struggle to Govern the Commons.</w:t>
      </w:r>
      <w:proofErr w:type="gramEnd"/>
      <w:r w:rsidRPr="00585BCA">
        <w:t xml:space="preserve"> Science 302:1907-1912.</w:t>
      </w:r>
    </w:p>
    <w:p w14:paraId="3E526749" w14:textId="6830885A" w:rsidR="002B755C" w:rsidRPr="00585BCA" w:rsidRDefault="002B755C" w:rsidP="00B33E51">
      <w:pPr>
        <w:pStyle w:val="References"/>
        <w:spacing w:after="0"/>
        <w:ind w:left="284" w:hanging="284"/>
      </w:pPr>
      <w:proofErr w:type="gramStart"/>
      <w:r w:rsidRPr="00585BCA">
        <w:t xml:space="preserve">Dolmans, SAM, von Burg, E., </w:t>
      </w:r>
      <w:proofErr w:type="spellStart"/>
      <w:r w:rsidRPr="00585BCA">
        <w:t>Reuman</w:t>
      </w:r>
      <w:proofErr w:type="spellEnd"/>
      <w:r w:rsidRPr="00585BCA">
        <w:t xml:space="preserve">, IMMJ, </w:t>
      </w:r>
      <w:proofErr w:type="spellStart"/>
      <w:r w:rsidRPr="00585BCA">
        <w:t>Romme</w:t>
      </w:r>
      <w:proofErr w:type="spellEnd"/>
      <w:r w:rsidRPr="00585BCA">
        <w:t>, AGL 2014.</w:t>
      </w:r>
      <w:proofErr w:type="gramEnd"/>
      <w:r w:rsidRPr="00585BCA">
        <w:t xml:space="preserve"> Dynamics of Resource Slack and Constraints: Resource Positions in Action. Organization Studies 35 (4) 511-49</w:t>
      </w:r>
    </w:p>
    <w:p w14:paraId="0D9759C5" w14:textId="77777777" w:rsidR="00A50BB2" w:rsidRPr="00585BCA" w:rsidRDefault="00A50BB2" w:rsidP="00B33E51">
      <w:pPr>
        <w:pStyle w:val="References"/>
        <w:spacing w:after="0"/>
        <w:ind w:left="284" w:hanging="284"/>
      </w:pPr>
      <w:proofErr w:type="spellStart"/>
      <w:r w:rsidRPr="00585BCA">
        <w:t>Dv</w:t>
      </w:r>
      <w:r w:rsidR="006E71FE" w:rsidRPr="00585BCA">
        <w:t>i</w:t>
      </w:r>
      <w:r w:rsidRPr="00585BCA">
        <w:t>r</w:t>
      </w:r>
      <w:proofErr w:type="spellEnd"/>
      <w:r w:rsidRPr="00585BCA">
        <w:t xml:space="preserve">, D. </w:t>
      </w:r>
      <w:proofErr w:type="spellStart"/>
      <w:r w:rsidRPr="00585BCA">
        <w:t>Lechler</w:t>
      </w:r>
      <w:proofErr w:type="spellEnd"/>
      <w:r w:rsidRPr="00585BCA">
        <w:t xml:space="preserve">, T.  2004. Plans are nothing, changing plans is everything: the impact of changes on project </w:t>
      </w:r>
      <w:proofErr w:type="gramStart"/>
      <w:r w:rsidRPr="00585BCA">
        <w:t>success.</w:t>
      </w:r>
      <w:proofErr w:type="gramEnd"/>
      <w:r w:rsidRPr="00585BCA">
        <w:t xml:space="preserve"> Research Policy, 33, 1-15.</w:t>
      </w:r>
    </w:p>
    <w:p w14:paraId="025B844E" w14:textId="77777777" w:rsidR="00AB4319" w:rsidRPr="00585BCA" w:rsidRDefault="00AB4319" w:rsidP="00B33E51">
      <w:pPr>
        <w:pStyle w:val="References"/>
        <w:spacing w:after="0"/>
        <w:ind w:left="284" w:hanging="284"/>
      </w:pPr>
      <w:bookmarkStart w:id="2" w:name="_ENREF_18"/>
      <w:proofErr w:type="spellStart"/>
      <w:r w:rsidRPr="00585BCA">
        <w:t>Eisenhardt</w:t>
      </w:r>
      <w:proofErr w:type="spellEnd"/>
      <w:r w:rsidRPr="00585BCA">
        <w:t xml:space="preserve">, KM 1989. </w:t>
      </w:r>
      <w:proofErr w:type="gramStart"/>
      <w:r w:rsidRPr="00585BCA">
        <w:t>Building theories from case study research.</w:t>
      </w:r>
      <w:proofErr w:type="gramEnd"/>
      <w:r w:rsidRPr="00585BCA">
        <w:t xml:space="preserve"> </w:t>
      </w:r>
      <w:r w:rsidRPr="00585BCA">
        <w:rPr>
          <w:i/>
        </w:rPr>
        <w:t>Academy of management review</w:t>
      </w:r>
      <w:r w:rsidRPr="00585BCA">
        <w:t xml:space="preserve"> </w:t>
      </w:r>
      <w:r w:rsidRPr="00585BCA">
        <w:rPr>
          <w:b/>
        </w:rPr>
        <w:t>14</w:t>
      </w:r>
      <w:r w:rsidRPr="00585BCA">
        <w:t>(4) 532-550.</w:t>
      </w:r>
      <w:bookmarkEnd w:id="2"/>
    </w:p>
    <w:p w14:paraId="0BEF5E7C" w14:textId="77777777" w:rsidR="00575E17" w:rsidRPr="00585BCA" w:rsidRDefault="00AB4319" w:rsidP="00B33E51">
      <w:pPr>
        <w:pStyle w:val="References"/>
        <w:spacing w:after="0"/>
        <w:ind w:left="284" w:hanging="284"/>
      </w:pPr>
      <w:proofErr w:type="spellStart"/>
      <w:r w:rsidRPr="00585BCA">
        <w:t>Eisenhardt</w:t>
      </w:r>
      <w:proofErr w:type="spellEnd"/>
      <w:r w:rsidRPr="00585BCA">
        <w:t xml:space="preserve"> K, </w:t>
      </w:r>
      <w:proofErr w:type="spellStart"/>
      <w:r w:rsidRPr="00585BCA">
        <w:t>Graebner</w:t>
      </w:r>
      <w:proofErr w:type="spellEnd"/>
      <w:r w:rsidRPr="00585BCA">
        <w:t xml:space="preserve"> M </w:t>
      </w:r>
      <w:r w:rsidR="00575E17" w:rsidRPr="00585BCA">
        <w:t>20</w:t>
      </w:r>
      <w:r w:rsidRPr="00585BCA">
        <w:t>07.</w:t>
      </w:r>
      <w:r w:rsidR="00575E17" w:rsidRPr="00585BCA">
        <w:t xml:space="preserve"> Th</w:t>
      </w:r>
      <w:r w:rsidR="00BA3EFD" w:rsidRPr="00585BCA">
        <w:t>eory building from cases: Oppor</w:t>
      </w:r>
      <w:r w:rsidR="00575E17" w:rsidRPr="00585BCA">
        <w:t>tu</w:t>
      </w:r>
      <w:r w:rsidR="00BA3EFD" w:rsidRPr="00585BCA">
        <w:t xml:space="preserve">nities and challenges. Academy Management Journal 50(1) </w:t>
      </w:r>
      <w:r w:rsidR="00575E17" w:rsidRPr="00585BCA">
        <w:t>25–32.</w:t>
      </w:r>
    </w:p>
    <w:p w14:paraId="79086CB9" w14:textId="294DA39D" w:rsidR="00875397" w:rsidRDefault="00875397" w:rsidP="00B33E51">
      <w:pPr>
        <w:pStyle w:val="References"/>
        <w:spacing w:after="0"/>
        <w:ind w:left="284" w:hanging="284"/>
      </w:pPr>
      <w:proofErr w:type="spellStart"/>
      <w:r w:rsidRPr="00585BCA">
        <w:t>Engwall</w:t>
      </w:r>
      <w:proofErr w:type="spellEnd"/>
      <w:r w:rsidRPr="00585BCA">
        <w:t>, M. 2003. No project is an island: linking projects to history and context. Research Policy, 32, 789-808.</w:t>
      </w:r>
    </w:p>
    <w:p w14:paraId="228A837F" w14:textId="41271161" w:rsidR="00E50117" w:rsidRPr="00585BCA" w:rsidRDefault="00E50117" w:rsidP="00B33E51">
      <w:pPr>
        <w:pStyle w:val="References"/>
        <w:spacing w:after="0"/>
        <w:ind w:left="284" w:hanging="284"/>
      </w:pPr>
      <w:proofErr w:type="spellStart"/>
      <w:proofErr w:type="gramStart"/>
      <w:r>
        <w:t>Eppinger</w:t>
      </w:r>
      <w:proofErr w:type="spellEnd"/>
      <w:r>
        <w:t>, W, Browning, T 2012.</w:t>
      </w:r>
      <w:proofErr w:type="gramEnd"/>
      <w:r>
        <w:t xml:space="preserve"> Design Structure Matrix Methods and Applications. Cambridge, MA: MIT Press.</w:t>
      </w:r>
    </w:p>
    <w:p w14:paraId="63DC0BE8" w14:textId="66814790" w:rsidR="00211771" w:rsidRPr="00585BCA" w:rsidRDefault="00211771" w:rsidP="00B33E51">
      <w:pPr>
        <w:pStyle w:val="References"/>
        <w:spacing w:after="0"/>
        <w:ind w:left="284" w:hanging="284"/>
      </w:pPr>
      <w:proofErr w:type="spellStart"/>
      <w:proofErr w:type="gramStart"/>
      <w:r w:rsidRPr="00585BCA">
        <w:t>Eppinger</w:t>
      </w:r>
      <w:proofErr w:type="spellEnd"/>
      <w:r w:rsidRPr="00585BCA">
        <w:t xml:space="preserve">, Whitney, DE, Smith RP, </w:t>
      </w:r>
      <w:proofErr w:type="spellStart"/>
      <w:r w:rsidRPr="00585BCA">
        <w:t>Gebala</w:t>
      </w:r>
      <w:proofErr w:type="spellEnd"/>
      <w:r w:rsidRPr="00585BCA">
        <w:t>, DA 1994.</w:t>
      </w:r>
      <w:proofErr w:type="gramEnd"/>
      <w:r w:rsidRPr="00585BCA">
        <w:t xml:space="preserve"> A Model-based method for </w:t>
      </w:r>
      <w:proofErr w:type="spellStart"/>
      <w:r w:rsidRPr="00585BCA">
        <w:t>organzing</w:t>
      </w:r>
      <w:proofErr w:type="spellEnd"/>
      <w:r w:rsidRPr="00585BCA">
        <w:t xml:space="preserve"> </w:t>
      </w:r>
      <w:r w:rsidRPr="00585BCA">
        <w:lastRenderedPageBreak/>
        <w:t>tasks in product development. Research in Engineering Design, 6 (1</w:t>
      </w:r>
      <w:proofErr w:type="gramStart"/>
      <w:r w:rsidRPr="00585BCA">
        <w:t>)  1</w:t>
      </w:r>
      <w:proofErr w:type="gramEnd"/>
      <w:r w:rsidRPr="00585BCA">
        <w:t>–13</w:t>
      </w:r>
    </w:p>
    <w:p w14:paraId="0BA48A79" w14:textId="77777777" w:rsidR="00F21EEE" w:rsidRPr="00585BCA" w:rsidRDefault="00F21EEE" w:rsidP="00B33E51">
      <w:pPr>
        <w:pStyle w:val="References"/>
        <w:spacing w:after="0"/>
        <w:ind w:left="284" w:hanging="284"/>
      </w:pPr>
      <w:r w:rsidRPr="00585BCA">
        <w:t xml:space="preserve">Flyvbjerg, B., </w:t>
      </w:r>
      <w:proofErr w:type="spellStart"/>
      <w:r w:rsidRPr="00585BCA">
        <w:t>Bruzelius</w:t>
      </w:r>
      <w:proofErr w:type="spellEnd"/>
      <w:r w:rsidRPr="00585BCA">
        <w:t>,</w:t>
      </w:r>
      <w:r w:rsidR="00D217E0" w:rsidRPr="00585BCA">
        <w:t xml:space="preserve"> N., </w:t>
      </w:r>
      <w:proofErr w:type="spellStart"/>
      <w:r w:rsidR="00D217E0" w:rsidRPr="00585BCA">
        <w:t>Rothengatter</w:t>
      </w:r>
      <w:proofErr w:type="spellEnd"/>
      <w:r w:rsidR="00D217E0" w:rsidRPr="00585BCA">
        <w:t>, W. 2003</w:t>
      </w:r>
      <w:r w:rsidRPr="00585BCA">
        <w:t xml:space="preserve">. Megaprojects and Risk: An anatomy of Ambition. </w:t>
      </w:r>
      <w:proofErr w:type="gramStart"/>
      <w:r w:rsidRPr="00585BCA">
        <w:t>Cambridge University Press.</w:t>
      </w:r>
      <w:proofErr w:type="gramEnd"/>
    </w:p>
    <w:p w14:paraId="377EE8D9" w14:textId="2C1EB8B7" w:rsidR="00CD3106" w:rsidRPr="00585BCA" w:rsidRDefault="00CD3106" w:rsidP="00B33E51">
      <w:pPr>
        <w:pStyle w:val="References"/>
        <w:spacing w:after="0"/>
        <w:ind w:left="284" w:hanging="284"/>
      </w:pPr>
      <w:r w:rsidRPr="00585BCA">
        <w:t>Frey, BS 1994 How intrinsic motivation is crowed out and in, Rationality and Society</w:t>
      </w:r>
      <w:proofErr w:type="gramStart"/>
      <w:r w:rsidRPr="00585BCA">
        <w:t>,6,334</w:t>
      </w:r>
      <w:proofErr w:type="gramEnd"/>
      <w:r w:rsidRPr="00585BCA">
        <w:t>-352.</w:t>
      </w:r>
    </w:p>
    <w:p w14:paraId="4260E9A5" w14:textId="77777777" w:rsidR="00A50BB2" w:rsidRPr="00585BCA" w:rsidRDefault="00A13A50" w:rsidP="00B33E51">
      <w:pPr>
        <w:pStyle w:val="References"/>
        <w:spacing w:after="0"/>
        <w:ind w:left="284" w:hanging="284"/>
      </w:pPr>
      <w:proofErr w:type="gramStart"/>
      <w:r w:rsidRPr="00585BCA">
        <w:t>Galbraith, JR 1973</w:t>
      </w:r>
      <w:r w:rsidR="00082069" w:rsidRPr="00585BCA">
        <w:t xml:space="preserve"> Designing complex organizations.</w:t>
      </w:r>
      <w:proofErr w:type="gramEnd"/>
      <w:r w:rsidR="00082069" w:rsidRPr="00585BCA">
        <w:t xml:space="preserve"> Addiso</w:t>
      </w:r>
      <w:r w:rsidRPr="00585BCA">
        <w:t>n-Wesley Longman Publish Co.</w:t>
      </w:r>
    </w:p>
    <w:p w14:paraId="7A1645A9" w14:textId="0665FA04" w:rsidR="003A19FF" w:rsidRPr="00585BCA" w:rsidRDefault="009D57E0" w:rsidP="00B33E51">
      <w:pPr>
        <w:pStyle w:val="References"/>
        <w:spacing w:after="0"/>
        <w:ind w:left="284" w:hanging="284"/>
      </w:pPr>
      <w:r w:rsidRPr="00585BCA">
        <w:t>Gil, N, Tether, B.</w:t>
      </w:r>
      <w:r w:rsidR="003A19FF" w:rsidRPr="00585BCA">
        <w:t xml:space="preserve">2011. Project Risk Management and Design Flexibility: </w:t>
      </w:r>
      <w:proofErr w:type="spellStart"/>
      <w:r w:rsidR="003A19FF" w:rsidRPr="00585BCA">
        <w:t>Analysing</w:t>
      </w:r>
      <w:proofErr w:type="spellEnd"/>
      <w:r w:rsidR="003A19FF" w:rsidRPr="00585BCA">
        <w:t xml:space="preserve"> a Case and Conditions of Complementarity. Research Policy, 40, 415-428.</w:t>
      </w:r>
    </w:p>
    <w:p w14:paraId="5D98A28E" w14:textId="4715F3FE" w:rsidR="00957B6C" w:rsidRPr="00585BCA" w:rsidRDefault="00383824" w:rsidP="00B33E51">
      <w:pPr>
        <w:pStyle w:val="References"/>
        <w:spacing w:after="0"/>
        <w:ind w:left="284" w:hanging="284"/>
      </w:pPr>
      <w:r w:rsidRPr="00585BCA">
        <w:t xml:space="preserve">Gil, N, Baldwin, C. 2013. </w:t>
      </w:r>
      <w:proofErr w:type="gramStart"/>
      <w:r w:rsidRPr="00585BCA">
        <w:t>Sharing Design Rights: A Commons Approach for Developing Infrastructure.</w:t>
      </w:r>
      <w:proofErr w:type="gramEnd"/>
      <w:r w:rsidRPr="00585BCA">
        <w:t xml:space="preserve"> Harvard Business School working paper, 14-025, January</w:t>
      </w:r>
    </w:p>
    <w:p w14:paraId="7808B16C" w14:textId="06BE282D" w:rsidR="002B755C" w:rsidRPr="00585BCA" w:rsidRDefault="002B755C" w:rsidP="00B33E51">
      <w:pPr>
        <w:pStyle w:val="References"/>
        <w:spacing w:after="0"/>
        <w:ind w:left="284" w:hanging="284"/>
      </w:pPr>
      <w:r w:rsidRPr="00585BCA">
        <w:t>Hannah</w:t>
      </w:r>
      <w:r w:rsidR="00F36FDC" w:rsidRPr="00585BCA">
        <w:t>, MT,</w:t>
      </w:r>
      <w:r w:rsidRPr="00585BCA">
        <w:t xml:space="preserve"> Freeman</w:t>
      </w:r>
      <w:r w:rsidR="00F36FDC" w:rsidRPr="00585BCA">
        <w:t>, J</w:t>
      </w:r>
      <w:r w:rsidRPr="00585BCA">
        <w:t xml:space="preserve"> 1989</w:t>
      </w:r>
      <w:r w:rsidR="00F36FDC" w:rsidRPr="00585BCA">
        <w:t>. Organizational Ecology, Cambridge, Harvard Univ. Press</w:t>
      </w:r>
    </w:p>
    <w:p w14:paraId="1B5DCAD5" w14:textId="524070D0" w:rsidR="00AD10BA" w:rsidRPr="00585BCA" w:rsidRDefault="00AD10BA" w:rsidP="00B33E51">
      <w:pPr>
        <w:pStyle w:val="References"/>
        <w:spacing w:after="0"/>
        <w:ind w:left="284" w:hanging="284"/>
      </w:pPr>
      <w:r w:rsidRPr="00585BCA">
        <w:t xml:space="preserve">Heath, C., </w:t>
      </w:r>
      <w:proofErr w:type="spellStart"/>
      <w:proofErr w:type="gramStart"/>
      <w:r w:rsidRPr="00585BCA">
        <w:t>Staudenmayer</w:t>
      </w:r>
      <w:proofErr w:type="spellEnd"/>
      <w:proofErr w:type="gramEnd"/>
      <w:r w:rsidRPr="00585BCA">
        <w:t xml:space="preserve">, N. 2000 Coordination neglect: how lay theories of organizing complicate coordination in organizations. </w:t>
      </w:r>
      <w:proofErr w:type="gramStart"/>
      <w:r w:rsidRPr="00585BCA">
        <w:t xml:space="preserve">Research in organizational behaviors 22, </w:t>
      </w:r>
      <w:r w:rsidR="00B33E51">
        <w:t>1</w:t>
      </w:r>
      <w:r w:rsidRPr="00585BCA">
        <w:t>53-91.</w:t>
      </w:r>
      <w:proofErr w:type="gramEnd"/>
    </w:p>
    <w:p w14:paraId="1AC30CB7" w14:textId="47597FE3" w:rsidR="002B755C" w:rsidRPr="00585BCA" w:rsidRDefault="002B755C" w:rsidP="00B33E51">
      <w:pPr>
        <w:pStyle w:val="References"/>
        <w:spacing w:after="0"/>
        <w:ind w:left="284" w:hanging="284"/>
      </w:pPr>
      <w:proofErr w:type="gramStart"/>
      <w:r w:rsidRPr="00585BCA">
        <w:t xml:space="preserve">Heine and </w:t>
      </w:r>
      <w:proofErr w:type="spellStart"/>
      <w:r w:rsidRPr="00585BCA">
        <w:t>Kerk</w:t>
      </w:r>
      <w:proofErr w:type="spellEnd"/>
      <w:r w:rsidRPr="00585BCA">
        <w:t xml:space="preserve"> 2017.</w:t>
      </w:r>
      <w:proofErr w:type="gramEnd"/>
      <w:r w:rsidRPr="00585BCA">
        <w:t xml:space="preserve"> </w:t>
      </w:r>
      <w:r w:rsidR="00F36FDC" w:rsidRPr="00585BCA">
        <w:t xml:space="preserve">Conflict resolution in meta-organizations: the peculiar role of arbitration, </w:t>
      </w:r>
      <w:r w:rsidRPr="00585BCA">
        <w:t>Organization Design</w:t>
      </w:r>
      <w:r w:rsidR="00F36FDC" w:rsidRPr="00585BCA">
        <w:t xml:space="preserve"> 6: 3. 1-20</w:t>
      </w:r>
    </w:p>
    <w:p w14:paraId="57E2E311" w14:textId="1C16CB00" w:rsidR="00F450E2" w:rsidRPr="00585BCA" w:rsidRDefault="00F450E2" w:rsidP="00B33E51">
      <w:pPr>
        <w:pStyle w:val="References"/>
        <w:spacing w:after="0"/>
        <w:ind w:left="284" w:hanging="284"/>
      </w:pPr>
      <w:proofErr w:type="spellStart"/>
      <w:r w:rsidRPr="00585BCA">
        <w:t>Jarzabkowski</w:t>
      </w:r>
      <w:proofErr w:type="spellEnd"/>
      <w:r w:rsidRPr="00585BCA">
        <w:t>, P, Fenton E 2006. Strategizing and Organizing in Pluralist Contexts. Long Range Planning, 39 (6) 631-648</w:t>
      </w:r>
    </w:p>
    <w:p w14:paraId="3815EBA0" w14:textId="77777777" w:rsidR="00BA3EFD" w:rsidRPr="00585BCA" w:rsidRDefault="00BA3EFD" w:rsidP="00B33E51">
      <w:pPr>
        <w:pStyle w:val="References"/>
        <w:spacing w:after="0"/>
        <w:ind w:left="284" w:hanging="284"/>
      </w:pPr>
      <w:proofErr w:type="spellStart"/>
      <w:r w:rsidRPr="00585BCA">
        <w:t>Jick</w:t>
      </w:r>
      <w:proofErr w:type="spellEnd"/>
      <w:r w:rsidRPr="00585BCA">
        <w:t xml:space="preserve">, T.D. 1979. </w:t>
      </w:r>
      <w:proofErr w:type="gramStart"/>
      <w:r w:rsidRPr="00585BCA">
        <w:t>Mixing qualitative and quantitative methods: triangulation in action, Administrative Science Quarterly 24 (4) 602-611.</w:t>
      </w:r>
      <w:proofErr w:type="gramEnd"/>
    </w:p>
    <w:p w14:paraId="3BFD342A" w14:textId="77777777" w:rsidR="00BA3EFD" w:rsidRPr="00585BCA" w:rsidRDefault="00BA3EFD" w:rsidP="00B33E51">
      <w:pPr>
        <w:pStyle w:val="References"/>
        <w:spacing w:after="0"/>
        <w:ind w:left="284" w:hanging="284"/>
      </w:pPr>
      <w:proofErr w:type="spellStart"/>
      <w:r w:rsidRPr="00585BCA">
        <w:t>Ketokivi</w:t>
      </w:r>
      <w:proofErr w:type="spellEnd"/>
      <w:r w:rsidRPr="00585BCA">
        <w:t>, M.,</w:t>
      </w:r>
      <w:r w:rsidR="00A32DD0" w:rsidRPr="00585BCA">
        <w:t xml:space="preserve"> </w:t>
      </w:r>
      <w:proofErr w:type="spellStart"/>
      <w:r w:rsidRPr="00585BCA">
        <w:t>Mantere</w:t>
      </w:r>
      <w:proofErr w:type="spellEnd"/>
      <w:r w:rsidR="00A32DD0" w:rsidRPr="00585BCA">
        <w:t>,</w:t>
      </w:r>
      <w:r w:rsidRPr="00585BCA">
        <w:t xml:space="preserve"> </w:t>
      </w:r>
      <w:r w:rsidR="00A32DD0" w:rsidRPr="00585BCA">
        <w:t xml:space="preserve">S. </w:t>
      </w:r>
      <w:r w:rsidRPr="00585BCA">
        <w:t>2010</w:t>
      </w:r>
      <w:r w:rsidR="00A32DD0" w:rsidRPr="00585BCA">
        <w:t>.</w:t>
      </w:r>
      <w:r w:rsidRPr="00585BCA">
        <w:t xml:space="preserve"> </w:t>
      </w:r>
      <w:proofErr w:type="gramStart"/>
      <w:r w:rsidRPr="00585BCA">
        <w:t>Two strategies for inductive reasoning in organizational research.</w:t>
      </w:r>
      <w:proofErr w:type="gramEnd"/>
      <w:r w:rsidRPr="00585BCA">
        <w:t xml:space="preserve"> Academy of Management Review, 35: 315-333.</w:t>
      </w:r>
    </w:p>
    <w:p w14:paraId="29893CCF" w14:textId="515B216E" w:rsidR="00D270A4" w:rsidRPr="00585BCA" w:rsidRDefault="00D270A4" w:rsidP="00B33E51">
      <w:pPr>
        <w:pStyle w:val="References"/>
        <w:spacing w:after="0"/>
        <w:ind w:left="284" w:hanging="284"/>
      </w:pPr>
      <w:proofErr w:type="gramStart"/>
      <w:r w:rsidRPr="00585BCA">
        <w:t xml:space="preserve">Knudsen, T., D. A. </w:t>
      </w:r>
      <w:proofErr w:type="spellStart"/>
      <w:r w:rsidRPr="00585BCA">
        <w:t>Levinthal</w:t>
      </w:r>
      <w:proofErr w:type="spellEnd"/>
      <w:r w:rsidRPr="00585BCA">
        <w:t>.</w:t>
      </w:r>
      <w:proofErr w:type="gramEnd"/>
      <w:r w:rsidRPr="00585BCA">
        <w:t xml:space="preserve"> 2007. Two faces of search: Alternative generation and alternative evaluation Organ. Sci. 18(1) 39–54.</w:t>
      </w:r>
    </w:p>
    <w:p w14:paraId="70D8D117" w14:textId="793B0907" w:rsidR="001D4620" w:rsidRPr="00585BCA" w:rsidRDefault="001D4620" w:rsidP="00B33E51">
      <w:pPr>
        <w:pStyle w:val="References"/>
        <w:spacing w:after="0"/>
        <w:ind w:left="284" w:hanging="284"/>
      </w:pPr>
      <w:r w:rsidRPr="00585BCA">
        <w:t xml:space="preserve">Langley, </w:t>
      </w:r>
      <w:proofErr w:type="gramStart"/>
      <w:r w:rsidRPr="00585BCA">
        <w:t>A</w:t>
      </w:r>
      <w:proofErr w:type="gramEnd"/>
      <w:r w:rsidRPr="00585BCA">
        <w:t xml:space="preserve"> 1995. </w:t>
      </w:r>
      <w:proofErr w:type="gramStart"/>
      <w:r w:rsidRPr="00585BCA">
        <w:t>Between “paralysis by analysis” and “extinction by instinct.”</w:t>
      </w:r>
      <w:proofErr w:type="gramEnd"/>
      <w:r w:rsidRPr="00585BCA">
        <w:t xml:space="preserve"> Sloan Management Rev. 36(3) 63–76.</w:t>
      </w:r>
    </w:p>
    <w:p w14:paraId="1C4A35BF" w14:textId="77777777" w:rsidR="002216FE" w:rsidRPr="00585BCA" w:rsidRDefault="007C5DDA" w:rsidP="00B33E51">
      <w:pPr>
        <w:pStyle w:val="References"/>
        <w:spacing w:after="0"/>
        <w:ind w:left="284" w:hanging="284"/>
      </w:pPr>
      <w:r w:rsidRPr="00585BCA">
        <w:t xml:space="preserve">Langley, </w:t>
      </w:r>
      <w:proofErr w:type="gramStart"/>
      <w:r w:rsidRPr="00585BCA">
        <w:t>A</w:t>
      </w:r>
      <w:proofErr w:type="gramEnd"/>
      <w:r w:rsidRPr="00585BCA">
        <w:t xml:space="preserve"> 1999. </w:t>
      </w:r>
      <w:proofErr w:type="gramStart"/>
      <w:r w:rsidR="002216FE" w:rsidRPr="00585BCA">
        <w:t>Strategies fo</w:t>
      </w:r>
      <w:r w:rsidR="00D217E0" w:rsidRPr="00585BCA">
        <w:t>r theorizing from process data.</w:t>
      </w:r>
      <w:proofErr w:type="gramEnd"/>
      <w:r w:rsidR="002216FE" w:rsidRPr="00585BCA">
        <w:t xml:space="preserve"> Academy of Management Review, 24: 691-710</w:t>
      </w:r>
      <w:r w:rsidR="00C525F6" w:rsidRPr="00585BCA">
        <w:t>.</w:t>
      </w:r>
    </w:p>
    <w:p w14:paraId="50793467" w14:textId="201413E1" w:rsidR="00F450E2" w:rsidRPr="00585BCA" w:rsidRDefault="00F450E2" w:rsidP="00B33E51">
      <w:pPr>
        <w:pStyle w:val="References"/>
        <w:spacing w:after="0"/>
        <w:ind w:left="284" w:hanging="284"/>
      </w:pPr>
      <w:r w:rsidRPr="00585BCA">
        <w:rPr>
          <w:lang w:val="en-GB"/>
        </w:rPr>
        <w:t xml:space="preserve">Lawrence, PR., </w:t>
      </w:r>
      <w:proofErr w:type="spellStart"/>
      <w:r w:rsidRPr="00585BCA">
        <w:rPr>
          <w:lang w:val="en-GB"/>
        </w:rPr>
        <w:t>Lorsch</w:t>
      </w:r>
      <w:proofErr w:type="spellEnd"/>
      <w:r w:rsidRPr="00585BCA">
        <w:rPr>
          <w:lang w:val="en-GB"/>
        </w:rPr>
        <w:t xml:space="preserve">, JW 1967. </w:t>
      </w:r>
      <w:proofErr w:type="gramStart"/>
      <w:r w:rsidRPr="00585BCA">
        <w:t>Differentiation and integration in complex organizations.</w:t>
      </w:r>
      <w:proofErr w:type="gramEnd"/>
      <w:r w:rsidRPr="00585BCA">
        <w:t xml:space="preserve"> </w:t>
      </w:r>
      <w:r w:rsidRPr="00585BCA">
        <w:rPr>
          <w:i/>
          <w:iCs/>
        </w:rPr>
        <w:t>Administrative Science Quarterly</w:t>
      </w:r>
      <w:r w:rsidRPr="00585BCA">
        <w:t>, 12 (1) 1-47.</w:t>
      </w:r>
    </w:p>
    <w:p w14:paraId="43E1050A" w14:textId="77777777" w:rsidR="002216FE" w:rsidRPr="00585BCA" w:rsidRDefault="002216FE" w:rsidP="00B33E51">
      <w:pPr>
        <w:pStyle w:val="References"/>
        <w:spacing w:after="0"/>
        <w:ind w:left="284" w:hanging="284"/>
      </w:pPr>
      <w:r w:rsidRPr="00585BCA">
        <w:t xml:space="preserve">Lincoln, YS, Guba, EG 1985 But is it rigorous? </w:t>
      </w:r>
      <w:proofErr w:type="gramStart"/>
      <w:r w:rsidRPr="00585BCA">
        <w:t>Trustworthiness and authenticity in naturalistic evaluation.</w:t>
      </w:r>
      <w:proofErr w:type="gramEnd"/>
      <w:r w:rsidRPr="00585BCA">
        <w:t xml:space="preserve"> </w:t>
      </w:r>
      <w:proofErr w:type="gramStart"/>
      <w:r w:rsidRPr="00585BCA">
        <w:t>In D. D. Williams (ed.), Naturalistic evaluation.</w:t>
      </w:r>
      <w:proofErr w:type="gramEnd"/>
      <w:r w:rsidRPr="00585BCA">
        <w:t xml:space="preserve"> San Francisco: </w:t>
      </w:r>
      <w:proofErr w:type="spellStart"/>
      <w:r w:rsidRPr="00585BCA">
        <w:t>Jossey</w:t>
      </w:r>
      <w:proofErr w:type="spellEnd"/>
      <w:r w:rsidRPr="00585BCA">
        <w:t>-Bass.</w:t>
      </w:r>
    </w:p>
    <w:p w14:paraId="6AA035E0" w14:textId="04F0B183" w:rsidR="002B755C" w:rsidRPr="00585BCA" w:rsidRDefault="002B755C" w:rsidP="00B33E51">
      <w:pPr>
        <w:pStyle w:val="References"/>
        <w:spacing w:after="0"/>
        <w:ind w:left="284" w:hanging="284"/>
      </w:pPr>
      <w:proofErr w:type="spellStart"/>
      <w:r w:rsidRPr="00585BCA">
        <w:t>Lumineau</w:t>
      </w:r>
      <w:proofErr w:type="spellEnd"/>
      <w:r w:rsidRPr="00585BCA">
        <w:t xml:space="preserve">, F, Oxley J 2012 </w:t>
      </w:r>
      <w:proofErr w:type="gramStart"/>
      <w:r w:rsidRPr="00585BCA">
        <w:t>Lets</w:t>
      </w:r>
      <w:proofErr w:type="gramEnd"/>
      <w:r w:rsidRPr="00585BCA">
        <w:t xml:space="preserve"> work it out (or we’ll see you in court): litigation and private dispute resolution in vertical exchange relationships. Organ Science 23(3) 820–834.</w:t>
      </w:r>
    </w:p>
    <w:p w14:paraId="70B1670A" w14:textId="6C62FC50" w:rsidR="002216FE" w:rsidRPr="00585BCA" w:rsidRDefault="002216FE" w:rsidP="00B33E51">
      <w:pPr>
        <w:pStyle w:val="References"/>
        <w:spacing w:after="0"/>
        <w:ind w:left="284" w:hanging="284"/>
      </w:pPr>
      <w:proofErr w:type="spellStart"/>
      <w:r w:rsidRPr="00585BCA">
        <w:t>Lundrigan</w:t>
      </w:r>
      <w:proofErr w:type="spellEnd"/>
      <w:r w:rsidRPr="00585BCA">
        <w:t xml:space="preserve">, C., Gil, N., </w:t>
      </w:r>
      <w:proofErr w:type="spellStart"/>
      <w:r w:rsidRPr="00585BCA">
        <w:t>Puranam</w:t>
      </w:r>
      <w:proofErr w:type="spellEnd"/>
      <w:r w:rsidRPr="00585BCA">
        <w:t xml:space="preserve">, P. </w:t>
      </w:r>
      <w:r w:rsidR="00B85855" w:rsidRPr="00585BCA">
        <w:t>2015</w:t>
      </w:r>
      <w:r w:rsidRPr="00585BCA">
        <w:t xml:space="preserve">. The (Under) Performance of Mega-projects: A meta-organizational Approach. </w:t>
      </w:r>
      <w:proofErr w:type="gramStart"/>
      <w:r w:rsidR="00B85855" w:rsidRPr="00585BCA">
        <w:t>Proc. 75th Academy of Mana</w:t>
      </w:r>
      <w:r w:rsidR="00FF1CE1" w:rsidRPr="00585BCA">
        <w:t>gement conference</w:t>
      </w:r>
      <w:r w:rsidR="00B85855" w:rsidRPr="00585BCA">
        <w:t>.</w:t>
      </w:r>
      <w:proofErr w:type="gramEnd"/>
    </w:p>
    <w:p w14:paraId="03CD43AD" w14:textId="4E5400A3" w:rsidR="006C1C36" w:rsidRPr="00585BCA" w:rsidRDefault="006C1C36" w:rsidP="00B33E51">
      <w:pPr>
        <w:pStyle w:val="References"/>
        <w:spacing w:after="0"/>
        <w:ind w:left="284" w:hanging="284"/>
      </w:pPr>
      <w:proofErr w:type="spellStart"/>
      <w:r w:rsidRPr="00585BCA">
        <w:t>M</w:t>
      </w:r>
      <w:r w:rsidR="00211771" w:rsidRPr="00585BCA">
        <w:t>a</w:t>
      </w:r>
      <w:r w:rsidRPr="00585BCA">
        <w:t>cCormack</w:t>
      </w:r>
      <w:proofErr w:type="spellEnd"/>
      <w:r w:rsidRPr="00585BCA">
        <w:t>, A., Baldwin, C</w:t>
      </w:r>
      <w:proofErr w:type="gramStart"/>
      <w:r w:rsidRPr="00585BCA">
        <w:t>,,</w:t>
      </w:r>
      <w:proofErr w:type="gramEnd"/>
      <w:r w:rsidRPr="00585BCA">
        <w:t xml:space="preserve"> Rusnak, J. 2012. </w:t>
      </w:r>
      <w:proofErr w:type="gramStart"/>
      <w:r w:rsidRPr="00585BCA">
        <w:t>Exploring the Duality between product and organizational architectures: A test of the “mirroring” hypothesis.</w:t>
      </w:r>
      <w:proofErr w:type="gramEnd"/>
      <w:r w:rsidRPr="00585BCA">
        <w:t xml:space="preserve"> Research Policy 41 (8) 1309-1324</w:t>
      </w:r>
    </w:p>
    <w:p w14:paraId="75A8E9B1" w14:textId="7575808A" w:rsidR="00B2049C" w:rsidRPr="00585BCA" w:rsidRDefault="00B2049C" w:rsidP="00B33E51">
      <w:pPr>
        <w:pStyle w:val="References"/>
        <w:spacing w:after="0"/>
        <w:ind w:left="284" w:hanging="284"/>
      </w:pPr>
      <w:proofErr w:type="gramStart"/>
      <w:r w:rsidRPr="00585BCA">
        <w:t>March</w:t>
      </w:r>
      <w:r w:rsidR="00F36FDC" w:rsidRPr="00585BCA">
        <w:t>, JG,</w:t>
      </w:r>
      <w:r w:rsidRPr="00585BCA">
        <w:t xml:space="preserve"> Simon</w:t>
      </w:r>
      <w:r w:rsidR="00F36FDC" w:rsidRPr="00585BCA">
        <w:t>, HA</w:t>
      </w:r>
      <w:r w:rsidRPr="00585BCA">
        <w:t xml:space="preserve"> 1958</w:t>
      </w:r>
      <w:r w:rsidR="00F36FDC" w:rsidRPr="00585BCA">
        <w:t>.</w:t>
      </w:r>
      <w:proofErr w:type="gramEnd"/>
      <w:r w:rsidR="00F36FDC" w:rsidRPr="00585BCA">
        <w:t xml:space="preserve"> </w:t>
      </w:r>
      <w:proofErr w:type="gramStart"/>
      <w:r w:rsidR="00F36FDC" w:rsidRPr="00585BCA">
        <w:t>Organizations, New.</w:t>
      </w:r>
      <w:proofErr w:type="gramEnd"/>
      <w:r w:rsidR="00F36FDC" w:rsidRPr="00585BCA">
        <w:t xml:space="preserve"> York: John Wiley and Sons, Inc.</w:t>
      </w:r>
    </w:p>
    <w:p w14:paraId="756DEA85" w14:textId="56EFB3B8" w:rsidR="002B755C" w:rsidRPr="00585BCA" w:rsidRDefault="002B755C" w:rsidP="00B33E51">
      <w:pPr>
        <w:pStyle w:val="References"/>
        <w:spacing w:after="0"/>
        <w:ind w:left="284" w:hanging="284"/>
      </w:pPr>
      <w:proofErr w:type="gramStart"/>
      <w:r w:rsidRPr="00585BCA">
        <w:t>March ,</w:t>
      </w:r>
      <w:proofErr w:type="gramEnd"/>
      <w:r w:rsidRPr="00585BCA">
        <w:t xml:space="preserve"> JG,  Simon HA 1993. Organizations revisited. Industrial and corporate change 2 (3) 299-316</w:t>
      </w:r>
    </w:p>
    <w:p w14:paraId="60CAE42A" w14:textId="77777777" w:rsidR="00A32DD0" w:rsidRPr="00585BCA" w:rsidRDefault="00A32DD0" w:rsidP="00B33E51">
      <w:pPr>
        <w:pStyle w:val="References"/>
        <w:spacing w:after="0"/>
        <w:ind w:left="284" w:hanging="284"/>
      </w:pPr>
      <w:bookmarkStart w:id="3" w:name="_ENREF_50"/>
      <w:proofErr w:type="gramStart"/>
      <w:r w:rsidRPr="00585BCA">
        <w:t>March, JG, Sutton, RI 1997.</w:t>
      </w:r>
      <w:proofErr w:type="gramEnd"/>
      <w:r w:rsidRPr="00585BCA">
        <w:t xml:space="preserve"> </w:t>
      </w:r>
      <w:proofErr w:type="gramStart"/>
      <w:r w:rsidRPr="00585BCA">
        <w:t>Crossroads-Organizational Performance as a Dependent Variable.</w:t>
      </w:r>
      <w:proofErr w:type="gramEnd"/>
      <w:r w:rsidRPr="00585BCA">
        <w:t xml:space="preserve"> </w:t>
      </w:r>
      <w:proofErr w:type="gramStart"/>
      <w:r w:rsidRPr="00585BCA">
        <w:rPr>
          <w:i/>
        </w:rPr>
        <w:t>Organization science</w:t>
      </w:r>
      <w:r w:rsidRPr="00585BCA">
        <w:t xml:space="preserve"> </w:t>
      </w:r>
      <w:r w:rsidRPr="00585BCA">
        <w:rPr>
          <w:b/>
        </w:rPr>
        <w:t>8</w:t>
      </w:r>
      <w:r w:rsidRPr="00585BCA">
        <w:t>(6) 698-706.</w:t>
      </w:r>
      <w:bookmarkEnd w:id="3"/>
      <w:proofErr w:type="gramEnd"/>
    </w:p>
    <w:p w14:paraId="62A01112" w14:textId="77777777" w:rsidR="002216FE" w:rsidRDefault="002216FE" w:rsidP="00B33E51">
      <w:pPr>
        <w:pStyle w:val="References"/>
        <w:spacing w:after="0"/>
        <w:ind w:left="284" w:hanging="284"/>
      </w:pPr>
      <w:proofErr w:type="spellStart"/>
      <w:r w:rsidRPr="00585BCA">
        <w:t>Merrow</w:t>
      </w:r>
      <w:proofErr w:type="spellEnd"/>
      <w:r w:rsidRPr="00585BCA">
        <w:t>, E</w:t>
      </w:r>
      <w:r w:rsidR="00701E6C" w:rsidRPr="00585BCA">
        <w:t>W</w:t>
      </w:r>
      <w:r w:rsidRPr="00585BCA">
        <w:t xml:space="preserve">, </w:t>
      </w:r>
      <w:proofErr w:type="spellStart"/>
      <w:r w:rsidR="005020DA" w:rsidRPr="00585BCA">
        <w:t>McDonwell</w:t>
      </w:r>
      <w:proofErr w:type="spellEnd"/>
      <w:r w:rsidR="005020DA" w:rsidRPr="00585BCA">
        <w:t xml:space="preserve">, L.M., </w:t>
      </w:r>
      <w:proofErr w:type="spellStart"/>
      <w:r w:rsidR="005020DA" w:rsidRPr="00585BCA">
        <w:t>Arguden</w:t>
      </w:r>
      <w:proofErr w:type="spellEnd"/>
      <w:r w:rsidR="005020DA" w:rsidRPr="00585BCA">
        <w:t>, R.Y. 1988</w:t>
      </w:r>
      <w:r w:rsidRPr="00585BCA">
        <w:t xml:space="preserve">. </w:t>
      </w:r>
      <w:proofErr w:type="gramStart"/>
      <w:r w:rsidRPr="00585BCA">
        <w:t>Understanding the Outcome of Megaprojects.</w:t>
      </w:r>
      <w:proofErr w:type="gramEnd"/>
      <w:r w:rsidRPr="00585BCA">
        <w:t xml:space="preserve"> Rand Corporation. Santa Monica.</w:t>
      </w:r>
    </w:p>
    <w:p w14:paraId="1CD832C5" w14:textId="58EF1E61" w:rsidR="00F07DEB" w:rsidRPr="00585BCA" w:rsidRDefault="00F07DEB" w:rsidP="00B33E51">
      <w:pPr>
        <w:pStyle w:val="References"/>
        <w:spacing w:after="0"/>
        <w:ind w:left="284" w:hanging="284"/>
      </w:pPr>
      <w:r w:rsidRPr="00F07DEB">
        <w:t>Merton, R</w:t>
      </w:r>
      <w:r>
        <w:t>K 1968</w:t>
      </w:r>
      <w:r w:rsidRPr="00F07DEB">
        <w:t xml:space="preserve">. </w:t>
      </w:r>
      <w:proofErr w:type="gramStart"/>
      <w:r w:rsidRPr="00F07DEB">
        <w:t>Social Theory and Social Structure.</w:t>
      </w:r>
      <w:proofErr w:type="gramEnd"/>
      <w:r w:rsidRPr="00F07DEB">
        <w:t xml:space="preserve"> New York: Free Press. </w:t>
      </w:r>
    </w:p>
    <w:p w14:paraId="0F01F385" w14:textId="77777777" w:rsidR="002216FE" w:rsidRPr="00585BCA" w:rsidRDefault="00906A8B" w:rsidP="00B33E51">
      <w:pPr>
        <w:pStyle w:val="References"/>
        <w:spacing w:after="0"/>
        <w:ind w:left="284" w:hanging="284"/>
      </w:pPr>
      <w:proofErr w:type="spellStart"/>
      <w:proofErr w:type="gramStart"/>
      <w:r w:rsidRPr="00585BCA">
        <w:t>Mihm</w:t>
      </w:r>
      <w:proofErr w:type="spellEnd"/>
      <w:r w:rsidRPr="00585BCA">
        <w:t>, J.</w:t>
      </w:r>
      <w:r w:rsidR="009B7947" w:rsidRPr="00585BCA">
        <w:t>,</w:t>
      </w:r>
      <w:r w:rsidRPr="00585BCA">
        <w:t xml:space="preserve"> Loch, CH, Wilkinson, D. Huberman, BA 2010.</w:t>
      </w:r>
      <w:proofErr w:type="gramEnd"/>
      <w:r w:rsidRPr="00585BCA">
        <w:t xml:space="preserve"> Hierarchical Structure and Search in Complex Organizations. Management Science 56(5) 831-848.</w:t>
      </w:r>
    </w:p>
    <w:p w14:paraId="58E7E1F9" w14:textId="77777777" w:rsidR="002216FE" w:rsidRPr="00585BCA" w:rsidRDefault="002216FE" w:rsidP="00B33E51">
      <w:pPr>
        <w:pStyle w:val="References"/>
        <w:spacing w:after="0"/>
        <w:ind w:left="284" w:hanging="284"/>
      </w:pPr>
      <w:r w:rsidRPr="00585BCA">
        <w:t>Miles, M.B., Huberman, A.M. 1994. Qualitative Data Analysis: an expanded sourcebook (2nd edition) Sage Publications, Thousand Oaks. California</w:t>
      </w:r>
    </w:p>
    <w:p w14:paraId="4E358F36" w14:textId="77777777" w:rsidR="002216FE" w:rsidRPr="00585BCA" w:rsidRDefault="00D0078A" w:rsidP="00B33E51">
      <w:pPr>
        <w:pStyle w:val="References"/>
        <w:spacing w:after="0"/>
        <w:ind w:left="284" w:hanging="284"/>
      </w:pPr>
      <w:proofErr w:type="gramStart"/>
      <w:r w:rsidRPr="00585BCA">
        <w:t xml:space="preserve">Miller, R, </w:t>
      </w:r>
      <w:proofErr w:type="spellStart"/>
      <w:r w:rsidRPr="00585BCA">
        <w:t>Lessard</w:t>
      </w:r>
      <w:proofErr w:type="spellEnd"/>
      <w:r w:rsidRPr="00585BCA">
        <w:t>, D 2000</w:t>
      </w:r>
      <w:r w:rsidR="002216FE" w:rsidRPr="00585BCA">
        <w:t>.</w:t>
      </w:r>
      <w:proofErr w:type="gramEnd"/>
      <w:r w:rsidR="002216FE" w:rsidRPr="00585BCA">
        <w:t xml:space="preserve"> </w:t>
      </w:r>
      <w:r w:rsidR="001F229C" w:rsidRPr="00585BCA">
        <w:t>Public Goods and Private Strategies: Making Sens</w:t>
      </w:r>
      <w:r w:rsidR="006C3769" w:rsidRPr="00585BCA">
        <w:t xml:space="preserve">e of Project Performance. </w:t>
      </w:r>
      <w:proofErr w:type="gramStart"/>
      <w:r w:rsidR="006C3769" w:rsidRPr="00585BCA">
        <w:t xml:space="preserve">In </w:t>
      </w:r>
      <w:r w:rsidR="002216FE" w:rsidRPr="00585BCA">
        <w:rPr>
          <w:i/>
        </w:rPr>
        <w:t>The Strategic Management of Large Engineering Projects</w:t>
      </w:r>
      <w:r w:rsidR="002216FE" w:rsidRPr="00585BCA">
        <w:t>.</w:t>
      </w:r>
      <w:proofErr w:type="gramEnd"/>
      <w:r w:rsidR="001F229C" w:rsidRPr="00585BCA">
        <w:t xml:space="preserve"> Roge</w:t>
      </w:r>
      <w:r w:rsidR="006C3769" w:rsidRPr="00585BCA">
        <w:t xml:space="preserve">r Miller and Donald </w:t>
      </w:r>
      <w:proofErr w:type="spellStart"/>
      <w:r w:rsidR="006C3769" w:rsidRPr="00585BCA">
        <w:t>Lessard</w:t>
      </w:r>
      <w:proofErr w:type="spellEnd"/>
      <w:r w:rsidR="006C3769" w:rsidRPr="00585BCA">
        <w:t xml:space="preserve"> (</w:t>
      </w:r>
      <w:proofErr w:type="spellStart"/>
      <w:proofErr w:type="gramStart"/>
      <w:r w:rsidR="006C3769" w:rsidRPr="00585BCA">
        <w:t>ed</w:t>
      </w:r>
      <w:r w:rsidR="001F229C" w:rsidRPr="00585BCA">
        <w:t>s</w:t>
      </w:r>
      <w:proofErr w:type="spellEnd"/>
      <w:proofErr w:type="gramEnd"/>
      <w:r w:rsidR="001F229C" w:rsidRPr="00585BCA">
        <w:t>).</w:t>
      </w:r>
      <w:r w:rsidR="002216FE" w:rsidRPr="00585BCA">
        <w:t xml:space="preserve"> </w:t>
      </w:r>
      <w:proofErr w:type="gramStart"/>
      <w:r w:rsidR="002216FE" w:rsidRPr="00585BCA">
        <w:t>Cambridge, MA, MIT Press.</w:t>
      </w:r>
      <w:proofErr w:type="gramEnd"/>
    </w:p>
    <w:p w14:paraId="03A3C475" w14:textId="77777777" w:rsidR="00796118" w:rsidRPr="00585BCA" w:rsidRDefault="00796118" w:rsidP="00B33E51">
      <w:pPr>
        <w:pStyle w:val="References"/>
        <w:spacing w:after="0"/>
        <w:ind w:left="284" w:hanging="284"/>
      </w:pPr>
      <w:r w:rsidRPr="00585BCA">
        <w:t xml:space="preserve">Morris, P.W. 1994. </w:t>
      </w:r>
      <w:proofErr w:type="gramStart"/>
      <w:r w:rsidRPr="00585BCA">
        <w:rPr>
          <w:i/>
        </w:rPr>
        <w:t>The management of projects</w:t>
      </w:r>
      <w:r w:rsidRPr="00585BCA">
        <w:t>.</w:t>
      </w:r>
      <w:proofErr w:type="gramEnd"/>
      <w:r w:rsidRPr="00585BCA">
        <w:t xml:space="preserve"> Thomas Telford </w:t>
      </w:r>
    </w:p>
    <w:p w14:paraId="3C602B07" w14:textId="1BBFF302" w:rsidR="00812BE8" w:rsidRPr="00585BCA" w:rsidRDefault="00812BE8" w:rsidP="00B33E51">
      <w:pPr>
        <w:pStyle w:val="References"/>
        <w:spacing w:after="0"/>
        <w:ind w:left="284" w:hanging="284"/>
      </w:pPr>
      <w:r w:rsidRPr="00585BCA">
        <w:t xml:space="preserve">Nadler, D., </w:t>
      </w:r>
      <w:proofErr w:type="spellStart"/>
      <w:r w:rsidRPr="00585BCA">
        <w:t>Tushman</w:t>
      </w:r>
      <w:proofErr w:type="spellEnd"/>
      <w:r w:rsidRPr="00585BCA">
        <w:t xml:space="preserve">, M. 1988. </w:t>
      </w:r>
      <w:proofErr w:type="gramStart"/>
      <w:r w:rsidRPr="00585BCA">
        <w:t>Strategic Organization Design.</w:t>
      </w:r>
      <w:proofErr w:type="gramEnd"/>
      <w:r w:rsidRPr="00585BCA">
        <w:t xml:space="preserve"> Glenview, IL: Scott, </w:t>
      </w:r>
      <w:proofErr w:type="spellStart"/>
      <w:r w:rsidRPr="00585BCA">
        <w:t>Foresman</w:t>
      </w:r>
      <w:proofErr w:type="spellEnd"/>
      <w:r w:rsidRPr="00585BCA">
        <w:t xml:space="preserve"> </w:t>
      </w:r>
      <w:r w:rsidRPr="00585BCA">
        <w:lastRenderedPageBreak/>
        <w:t>and Company</w:t>
      </w:r>
    </w:p>
    <w:p w14:paraId="6FBA730E" w14:textId="77777777" w:rsidR="002C55D2" w:rsidRPr="00585BCA" w:rsidRDefault="002C55D2" w:rsidP="00B33E51">
      <w:pPr>
        <w:pStyle w:val="References"/>
        <w:spacing w:after="0"/>
        <w:ind w:left="284" w:hanging="284"/>
      </w:pPr>
      <w:proofErr w:type="gramStart"/>
      <w:r w:rsidRPr="00585BCA">
        <w:t>National Audit Office (2007).</w:t>
      </w:r>
      <w:proofErr w:type="gramEnd"/>
      <w:r w:rsidRPr="00585BCA">
        <w:t xml:space="preserve"> </w:t>
      </w:r>
      <w:r w:rsidR="002E0F0F" w:rsidRPr="00585BCA">
        <w:t xml:space="preserve">Preparations for the London 2012 Olympic and Paralympic Games, Report by the comptroller and auditor general, HC 252 Session 2006-2007 </w:t>
      </w:r>
    </w:p>
    <w:p w14:paraId="5EDCC47D" w14:textId="77777777" w:rsidR="002216FE" w:rsidRPr="00585BCA" w:rsidRDefault="002216FE" w:rsidP="00B33E51">
      <w:pPr>
        <w:pStyle w:val="References"/>
        <w:spacing w:after="0"/>
        <w:ind w:left="284" w:hanging="284"/>
      </w:pPr>
      <w:proofErr w:type="gramStart"/>
      <w:r w:rsidRPr="00585BCA">
        <w:t>National Audit Office (2014).</w:t>
      </w:r>
      <w:proofErr w:type="gramEnd"/>
      <w:r w:rsidRPr="00585BCA">
        <w:t xml:space="preserve"> </w:t>
      </w:r>
      <w:proofErr w:type="gramStart"/>
      <w:r w:rsidRPr="00585BCA">
        <w:t>Crossrail.</w:t>
      </w:r>
      <w:proofErr w:type="gramEnd"/>
      <w:r w:rsidRPr="00585BCA">
        <w:t xml:space="preserve"> Report by the Comptroller and Auditor General. </w:t>
      </w:r>
      <w:proofErr w:type="gramStart"/>
      <w:r w:rsidRPr="00585BCA">
        <w:t>Department for Transport.</w:t>
      </w:r>
      <w:proofErr w:type="gramEnd"/>
      <w:r w:rsidRPr="00585BCA">
        <w:t xml:space="preserve"> 24 January</w:t>
      </w:r>
    </w:p>
    <w:p w14:paraId="3B622D3B" w14:textId="4AA6C294" w:rsidR="007C40C2" w:rsidRPr="00585BCA" w:rsidRDefault="007C40C2" w:rsidP="00B33E51">
      <w:pPr>
        <w:pStyle w:val="References"/>
        <w:spacing w:after="0"/>
        <w:ind w:left="284" w:hanging="284"/>
      </w:pPr>
      <w:r w:rsidRPr="00585BCA">
        <w:t xml:space="preserve">Olson, M. 1965. The Logic of Collective </w:t>
      </w:r>
      <w:proofErr w:type="gramStart"/>
      <w:r w:rsidRPr="00585BCA">
        <w:t>Action.:</w:t>
      </w:r>
      <w:proofErr w:type="gramEnd"/>
      <w:r w:rsidRPr="00585BCA">
        <w:t xml:space="preserve"> Public Goods and the Theory of Groups. Cambridge, MA: Harvard University Press.</w:t>
      </w:r>
    </w:p>
    <w:p w14:paraId="4D1D31D2" w14:textId="77777777" w:rsidR="002216FE" w:rsidRPr="00585BCA" w:rsidRDefault="002216FE" w:rsidP="00B33E51">
      <w:pPr>
        <w:pStyle w:val="References"/>
        <w:spacing w:after="0"/>
        <w:ind w:left="284" w:hanging="284"/>
      </w:pPr>
      <w:proofErr w:type="gramStart"/>
      <w:r w:rsidRPr="00585BCA">
        <w:t>O'Ma</w:t>
      </w:r>
      <w:r w:rsidR="00AB4319" w:rsidRPr="00585BCA">
        <w:t>hony, S</w:t>
      </w:r>
      <w:r w:rsidRPr="00585BCA">
        <w:t>, Ferraro</w:t>
      </w:r>
      <w:r w:rsidR="00AB4319" w:rsidRPr="00585BCA">
        <w:t>, F 2007.</w:t>
      </w:r>
      <w:proofErr w:type="gramEnd"/>
      <w:r w:rsidR="00DB21E3" w:rsidRPr="00585BCA">
        <w:t xml:space="preserve"> </w:t>
      </w:r>
      <w:proofErr w:type="gramStart"/>
      <w:r w:rsidRPr="00585BCA">
        <w:t>The emergence of governance in an open source community.</w:t>
      </w:r>
      <w:proofErr w:type="gramEnd"/>
      <w:r w:rsidRPr="00585BCA">
        <w:t xml:space="preserve"> Academy of Management Journal, 50: 1079-1106.</w:t>
      </w:r>
      <w:bookmarkStart w:id="4" w:name="_ENREF_61"/>
    </w:p>
    <w:p w14:paraId="0500963F" w14:textId="77777777" w:rsidR="00383824" w:rsidRPr="00585BCA" w:rsidRDefault="00383824" w:rsidP="00B33E51">
      <w:pPr>
        <w:pStyle w:val="References"/>
        <w:spacing w:after="0"/>
        <w:ind w:left="284" w:hanging="284"/>
      </w:pPr>
      <w:bookmarkStart w:id="5" w:name="_ENREF_64"/>
      <w:bookmarkEnd w:id="4"/>
      <w:proofErr w:type="spellStart"/>
      <w:proofErr w:type="gramStart"/>
      <w:r w:rsidRPr="00585BCA">
        <w:t>Ostrom</w:t>
      </w:r>
      <w:proofErr w:type="spellEnd"/>
      <w:r w:rsidRPr="00585BCA">
        <w:t>, E. 1990.</w:t>
      </w:r>
      <w:proofErr w:type="gramEnd"/>
      <w:r w:rsidRPr="00585BCA">
        <w:t xml:space="preserve"> </w:t>
      </w:r>
      <w:proofErr w:type="gramStart"/>
      <w:r w:rsidRPr="00585BCA">
        <w:t>Governing the Commons: The Evolution of Institutions for Collective Action.</w:t>
      </w:r>
      <w:proofErr w:type="gramEnd"/>
      <w:r w:rsidRPr="00585BCA">
        <w:t xml:space="preserve"> </w:t>
      </w:r>
      <w:proofErr w:type="gramStart"/>
      <w:r w:rsidRPr="00585BCA">
        <w:t>Cambridge University Press, Cambridge, UK.</w:t>
      </w:r>
      <w:bookmarkEnd w:id="5"/>
      <w:proofErr w:type="gramEnd"/>
    </w:p>
    <w:p w14:paraId="48573EC7" w14:textId="1AAE9DB1" w:rsidR="00812BE8" w:rsidRPr="00585BCA" w:rsidRDefault="00812BE8" w:rsidP="00B33E51">
      <w:pPr>
        <w:pStyle w:val="References"/>
        <w:spacing w:after="0"/>
        <w:ind w:left="284" w:hanging="284"/>
      </w:pPr>
      <w:proofErr w:type="spellStart"/>
      <w:proofErr w:type="gramStart"/>
      <w:r w:rsidRPr="00585BCA">
        <w:t>Ostrom</w:t>
      </w:r>
      <w:proofErr w:type="spellEnd"/>
      <w:r w:rsidRPr="00585BCA">
        <w:t>, E. 2010.</w:t>
      </w:r>
      <w:proofErr w:type="gramEnd"/>
      <w:r w:rsidRPr="00585BCA">
        <w:t xml:space="preserve"> </w:t>
      </w:r>
      <w:proofErr w:type="gramStart"/>
      <w:r w:rsidRPr="00585BCA">
        <w:t>A Long Polycentric Journey.</w:t>
      </w:r>
      <w:proofErr w:type="gramEnd"/>
      <w:r w:rsidRPr="00585BCA">
        <w:t xml:space="preserve"> Annual Review of Political Science, 13, 1-23.</w:t>
      </w:r>
    </w:p>
    <w:p w14:paraId="0290AEE1" w14:textId="77777777" w:rsidR="00E64245" w:rsidRPr="00585BCA" w:rsidRDefault="00E64245" w:rsidP="00B33E51">
      <w:pPr>
        <w:pStyle w:val="References"/>
        <w:spacing w:after="0"/>
        <w:ind w:left="284" w:hanging="284"/>
      </w:pPr>
      <w:proofErr w:type="spellStart"/>
      <w:proofErr w:type="gramStart"/>
      <w:r w:rsidRPr="00585BCA">
        <w:t>Ostrom</w:t>
      </w:r>
      <w:proofErr w:type="spellEnd"/>
      <w:r w:rsidRPr="00585BCA">
        <w:t>, V. 1972.</w:t>
      </w:r>
      <w:proofErr w:type="gramEnd"/>
      <w:r w:rsidRPr="00585BCA">
        <w:t xml:space="preserve"> </w:t>
      </w:r>
      <w:proofErr w:type="gramStart"/>
      <w:r w:rsidRPr="00585BCA">
        <w:t>Polycentricity.</w:t>
      </w:r>
      <w:proofErr w:type="gramEnd"/>
      <w:r w:rsidRPr="00585BCA">
        <w:t xml:space="preserve"> Presented at 1972 Annual Meeting of the American Political Science Association, Washington, DC, </w:t>
      </w:r>
      <w:proofErr w:type="gramStart"/>
      <w:r w:rsidRPr="00585BCA">
        <w:t>September</w:t>
      </w:r>
      <w:proofErr w:type="gramEnd"/>
      <w:r w:rsidRPr="00585BCA">
        <w:t xml:space="preserve"> 1972.</w:t>
      </w:r>
    </w:p>
    <w:p w14:paraId="26A414E7" w14:textId="23A1E898" w:rsidR="00F450E2" w:rsidRPr="00585BCA" w:rsidRDefault="00F450E2" w:rsidP="00B33E51">
      <w:pPr>
        <w:pStyle w:val="References"/>
        <w:spacing w:after="0"/>
        <w:ind w:left="284" w:hanging="284"/>
      </w:pPr>
      <w:r w:rsidRPr="00585BCA">
        <w:t xml:space="preserve">Pettigrew, AM 1973 </w:t>
      </w:r>
      <w:proofErr w:type="gramStart"/>
      <w:r w:rsidRPr="00585BCA">
        <w:t>The</w:t>
      </w:r>
      <w:proofErr w:type="gramEnd"/>
      <w:r w:rsidRPr="00585BCA">
        <w:t xml:space="preserve"> Politics of Organizational Decision Making. Taylor &amp; Francis</w:t>
      </w:r>
    </w:p>
    <w:p w14:paraId="39BE7FCD" w14:textId="0580B957" w:rsidR="00D11C7E" w:rsidRPr="00585BCA" w:rsidRDefault="00D11C7E" w:rsidP="00B33E51">
      <w:pPr>
        <w:pStyle w:val="References"/>
        <w:spacing w:after="0"/>
        <w:ind w:left="284" w:hanging="284"/>
      </w:pPr>
      <w:proofErr w:type="spellStart"/>
      <w:r w:rsidRPr="00585BCA">
        <w:t>Pfeffer</w:t>
      </w:r>
      <w:proofErr w:type="spellEnd"/>
      <w:r w:rsidR="00585BCA" w:rsidRPr="00585BCA">
        <w:t>, J.</w:t>
      </w:r>
      <w:r w:rsidRPr="00585BCA">
        <w:t xml:space="preserve"> </w:t>
      </w:r>
      <w:proofErr w:type="spellStart"/>
      <w:r w:rsidRPr="00585BCA">
        <w:t>Salancik</w:t>
      </w:r>
      <w:proofErr w:type="spellEnd"/>
      <w:r w:rsidR="00585BCA" w:rsidRPr="00585BCA">
        <w:t xml:space="preserve">, </w:t>
      </w:r>
      <w:proofErr w:type="gramStart"/>
      <w:r w:rsidR="00585BCA" w:rsidRPr="00585BCA">
        <w:t>GR</w:t>
      </w:r>
      <w:proofErr w:type="gramEnd"/>
      <w:r w:rsidRPr="00585BCA">
        <w:t xml:space="preserve"> 1978</w:t>
      </w:r>
      <w:r w:rsidR="00585BCA" w:rsidRPr="00585BCA">
        <w:t xml:space="preserve"> The External Control of Organizations: A Resource Dependence Perspective. New York, NY, Harper and Row</w:t>
      </w:r>
    </w:p>
    <w:p w14:paraId="581265AF" w14:textId="3C474D10" w:rsidR="00A13A50" w:rsidRPr="00585BCA" w:rsidRDefault="0054656B" w:rsidP="00B33E51">
      <w:pPr>
        <w:pStyle w:val="References"/>
        <w:spacing w:after="0"/>
        <w:ind w:left="284" w:hanging="284"/>
      </w:pPr>
      <w:proofErr w:type="gramStart"/>
      <w:r w:rsidRPr="00585BCA">
        <w:t>Pinto,</w:t>
      </w:r>
      <w:r w:rsidR="00034FBC" w:rsidRPr="00585BCA">
        <w:t xml:space="preserve"> JK,</w:t>
      </w:r>
      <w:r w:rsidR="009D57E0" w:rsidRPr="00585BCA">
        <w:t xml:space="preserve"> Winch G. 2016</w:t>
      </w:r>
      <w:r w:rsidRPr="00585BCA">
        <w:t>.</w:t>
      </w:r>
      <w:proofErr w:type="gramEnd"/>
      <w:r w:rsidRPr="00585BCA">
        <w:t xml:space="preserve"> The Unsettling of “Settled Science:” The Past and Future of the Management of Projects. </w:t>
      </w:r>
      <w:proofErr w:type="gramStart"/>
      <w:r w:rsidRPr="00585BCA">
        <w:t>In</w:t>
      </w:r>
      <w:r w:rsidR="00447E90" w:rsidRPr="00585BCA">
        <w:t>ternational Journal of Project Management.</w:t>
      </w:r>
      <w:proofErr w:type="gramEnd"/>
      <w:r w:rsidRPr="00585BCA">
        <w:t xml:space="preserve"> </w:t>
      </w:r>
      <w:proofErr w:type="gramStart"/>
      <w:r w:rsidR="00447E90" w:rsidRPr="00585BCA">
        <w:t>34 (2)</w:t>
      </w:r>
      <w:r w:rsidR="003B3D64" w:rsidRPr="00585BCA">
        <w:t xml:space="preserve"> 365-70</w:t>
      </w:r>
      <w:r w:rsidRPr="00585BCA">
        <w:t>.</w:t>
      </w:r>
      <w:proofErr w:type="gramEnd"/>
    </w:p>
    <w:p w14:paraId="437747C6" w14:textId="77777777" w:rsidR="00F450E2" w:rsidRPr="00585BCA" w:rsidRDefault="00F450E2" w:rsidP="00B33E51">
      <w:pPr>
        <w:pStyle w:val="References"/>
        <w:spacing w:after="0"/>
        <w:ind w:left="284" w:hanging="284"/>
      </w:pPr>
      <w:proofErr w:type="spellStart"/>
      <w:proofErr w:type="gramStart"/>
      <w:r w:rsidRPr="00585BCA">
        <w:t>Pitsis</w:t>
      </w:r>
      <w:proofErr w:type="spellEnd"/>
      <w:r w:rsidRPr="00585BCA">
        <w:t xml:space="preserve"> TS, Clegg SR, </w:t>
      </w:r>
      <w:proofErr w:type="spellStart"/>
      <w:r w:rsidRPr="00585BCA">
        <w:t>Marosszeky</w:t>
      </w:r>
      <w:proofErr w:type="spellEnd"/>
      <w:r w:rsidRPr="00585BCA">
        <w:t xml:space="preserve"> M, </w:t>
      </w:r>
      <w:proofErr w:type="spellStart"/>
      <w:r w:rsidRPr="00585BCA">
        <w:t>Rura-Polley</w:t>
      </w:r>
      <w:proofErr w:type="spellEnd"/>
      <w:r w:rsidRPr="00585BCA">
        <w:t xml:space="preserve"> T. 2003.</w:t>
      </w:r>
      <w:proofErr w:type="gramEnd"/>
      <w:r w:rsidRPr="00585BCA">
        <w:t xml:space="preserve"> </w:t>
      </w:r>
      <w:proofErr w:type="gramStart"/>
      <w:r w:rsidRPr="00585BCA">
        <w:t>Constructing the Olympic Dream: A Future Perfect Strategy of Project Management.</w:t>
      </w:r>
      <w:proofErr w:type="gramEnd"/>
      <w:r w:rsidRPr="00585BCA">
        <w:t xml:space="preserve"> </w:t>
      </w:r>
      <w:r w:rsidRPr="00585BCA">
        <w:rPr>
          <w:i/>
        </w:rPr>
        <w:t xml:space="preserve">Organization Science </w:t>
      </w:r>
      <w:r w:rsidRPr="00585BCA">
        <w:t>14(5) 574-590.</w:t>
      </w:r>
    </w:p>
    <w:p w14:paraId="73F112AD" w14:textId="125F9FCB" w:rsidR="00DA719E" w:rsidRPr="00585BCA" w:rsidRDefault="00DA719E" w:rsidP="00B33E51">
      <w:pPr>
        <w:pStyle w:val="References"/>
        <w:spacing w:after="0"/>
        <w:ind w:left="284" w:hanging="284"/>
      </w:pPr>
      <w:r w:rsidRPr="00585BCA">
        <w:t xml:space="preserve">Porter, T. M. (1995) Trust in Numbers: The Pursuit of Objectivity in Science and Public Life. </w:t>
      </w:r>
      <w:proofErr w:type="spellStart"/>
      <w:r w:rsidRPr="00585BCA">
        <w:t>Princeton</w:t>
      </w:r>
      <w:proofErr w:type="gramStart"/>
      <w:r w:rsidRPr="00585BCA">
        <w:t>,NJ</w:t>
      </w:r>
      <w:proofErr w:type="spellEnd"/>
      <w:proofErr w:type="gramEnd"/>
      <w:r w:rsidRPr="00585BCA">
        <w:t>: Princeton University Press.</w:t>
      </w:r>
    </w:p>
    <w:p w14:paraId="5C7BD8A9" w14:textId="77777777" w:rsidR="008115B4" w:rsidRPr="00585BCA" w:rsidRDefault="008115B4" w:rsidP="00B33E51">
      <w:pPr>
        <w:pStyle w:val="References"/>
        <w:spacing w:after="0"/>
        <w:ind w:left="284" w:hanging="284"/>
      </w:pPr>
      <w:r w:rsidRPr="00585BCA">
        <w:t xml:space="preserve">Ring, </w:t>
      </w:r>
      <w:proofErr w:type="spellStart"/>
      <w:r w:rsidRPr="00585BCA">
        <w:t>P.S.</w:t>
      </w:r>
      <w:proofErr w:type="gramStart"/>
      <w:r w:rsidRPr="00585BCA">
        <w:t>,Van</w:t>
      </w:r>
      <w:proofErr w:type="spellEnd"/>
      <w:proofErr w:type="gramEnd"/>
      <w:r w:rsidRPr="00585BCA">
        <w:t xml:space="preserve"> De </w:t>
      </w:r>
      <w:proofErr w:type="spellStart"/>
      <w:r w:rsidRPr="00585BCA">
        <w:t>Ven</w:t>
      </w:r>
      <w:proofErr w:type="spellEnd"/>
      <w:r w:rsidRPr="00585BCA">
        <w:t>, AH. 1992. Structuring Cooperative Relationships between Organizations. Strategic Management Journal, 13 (7) 483-498.</w:t>
      </w:r>
    </w:p>
    <w:p w14:paraId="7885FA35" w14:textId="22221DE6" w:rsidR="00B2049C" w:rsidRPr="00585BCA" w:rsidRDefault="00812BE8" w:rsidP="00B33E51">
      <w:pPr>
        <w:pStyle w:val="References"/>
        <w:spacing w:after="0"/>
        <w:ind w:left="284" w:hanging="284"/>
      </w:pPr>
      <w:proofErr w:type="spellStart"/>
      <w:r w:rsidRPr="00585BCA">
        <w:t>Rittel</w:t>
      </w:r>
      <w:proofErr w:type="spellEnd"/>
      <w:r w:rsidRPr="00585BCA">
        <w:t>, HWJ, Webber, MM 1973. Dilemmas in a General Theory of Planning, Policy Sciences, 4: 155–169</w:t>
      </w:r>
    </w:p>
    <w:p w14:paraId="1633A8FC" w14:textId="77777777" w:rsidR="002216FE" w:rsidRPr="00585BCA" w:rsidRDefault="00796118" w:rsidP="00B33E51">
      <w:pPr>
        <w:pStyle w:val="References"/>
        <w:spacing w:after="0"/>
        <w:ind w:left="284" w:hanging="284"/>
      </w:pPr>
      <w:r w:rsidRPr="00585BCA">
        <w:t xml:space="preserve">Ross, J., </w:t>
      </w:r>
      <w:proofErr w:type="spellStart"/>
      <w:r w:rsidRPr="00585BCA">
        <w:t>Staw</w:t>
      </w:r>
      <w:proofErr w:type="spellEnd"/>
      <w:r w:rsidRPr="00585BCA">
        <w:t>, B.M. 1986</w:t>
      </w:r>
      <w:r w:rsidR="002216FE" w:rsidRPr="00585BCA">
        <w:t>. “Expo 86: An Escalation Prototype,” Administrative Science Quarterly, 31 (2): 274-297.</w:t>
      </w:r>
    </w:p>
    <w:p w14:paraId="38E36922" w14:textId="572E6C4A" w:rsidR="000D2DF4" w:rsidRPr="00585BCA" w:rsidRDefault="000D2DF4" w:rsidP="00B33E51">
      <w:pPr>
        <w:pStyle w:val="References"/>
        <w:spacing w:after="0"/>
        <w:ind w:left="284" w:hanging="284"/>
      </w:pPr>
      <w:r w:rsidRPr="00585BCA">
        <w:t xml:space="preserve">Scott, WR </w:t>
      </w:r>
      <w:r w:rsidR="009973ED" w:rsidRPr="00585BCA">
        <w:t xml:space="preserve">1987 </w:t>
      </w:r>
      <w:r w:rsidRPr="00585BCA">
        <w:t>Organizations</w:t>
      </w:r>
      <w:r w:rsidR="009973ED" w:rsidRPr="00585BCA">
        <w:t xml:space="preserve"> Rational, Natural, and Open Systems </w:t>
      </w:r>
      <w:r w:rsidRPr="00585BCA">
        <w:t>(</w:t>
      </w:r>
      <w:r w:rsidR="009973ED" w:rsidRPr="00585BCA">
        <w:t xml:space="preserve">2nd </w:t>
      </w:r>
      <w:proofErr w:type="spellStart"/>
      <w:proofErr w:type="gramStart"/>
      <w:r w:rsidR="003D7798" w:rsidRPr="00585BCA">
        <w:t>ed</w:t>
      </w:r>
      <w:proofErr w:type="spellEnd"/>
      <w:proofErr w:type="gramEnd"/>
      <w:r w:rsidRPr="00585BCA">
        <w:t>)</w:t>
      </w:r>
      <w:r w:rsidR="003D7798" w:rsidRPr="00585BCA">
        <w:t xml:space="preserve"> </w:t>
      </w:r>
      <w:r w:rsidR="009973ED" w:rsidRPr="00585BCA">
        <w:t>Prentice-Hall, Englewood Cliffs, NJ.</w:t>
      </w:r>
    </w:p>
    <w:p w14:paraId="07450EE1" w14:textId="77777777" w:rsidR="00796118" w:rsidRPr="00585BCA" w:rsidRDefault="00796118" w:rsidP="00B33E51">
      <w:pPr>
        <w:pStyle w:val="References"/>
        <w:spacing w:after="0"/>
        <w:ind w:left="284" w:hanging="284"/>
      </w:pPr>
      <w:bookmarkStart w:id="6" w:name="_ENREF_76"/>
      <w:r w:rsidRPr="00585BCA">
        <w:t xml:space="preserve">Shapiro, A., Lorenz, C. 2000. Large-Scale Projects as Complex Systems: Managing Scope Creep. </w:t>
      </w:r>
      <w:r w:rsidRPr="00585BCA">
        <w:rPr>
          <w:i/>
        </w:rPr>
        <w:t>The Systems Thinker</w:t>
      </w:r>
      <w:r w:rsidRPr="00585BCA">
        <w:t xml:space="preserve"> </w:t>
      </w:r>
      <w:r w:rsidRPr="00585BCA">
        <w:rPr>
          <w:b/>
        </w:rPr>
        <w:t>11</w:t>
      </w:r>
      <w:r w:rsidRPr="00585BCA">
        <w:t>(1) 1-5.</w:t>
      </w:r>
      <w:bookmarkEnd w:id="6"/>
    </w:p>
    <w:p w14:paraId="7F5872D3" w14:textId="77777777" w:rsidR="00575E17" w:rsidRPr="00585BCA" w:rsidRDefault="00575E17" w:rsidP="00B33E51">
      <w:pPr>
        <w:pStyle w:val="References"/>
        <w:spacing w:after="0"/>
        <w:ind w:left="284" w:hanging="284"/>
      </w:pPr>
      <w:proofErr w:type="spellStart"/>
      <w:proofErr w:type="gramStart"/>
      <w:r w:rsidRPr="00585BCA">
        <w:t>S</w:t>
      </w:r>
      <w:r w:rsidR="00BA3EFD" w:rsidRPr="00585BCA">
        <w:t>iggelkow</w:t>
      </w:r>
      <w:proofErr w:type="spellEnd"/>
      <w:r w:rsidR="00BA3EFD" w:rsidRPr="00585BCA">
        <w:t>, N. 2007.</w:t>
      </w:r>
      <w:proofErr w:type="gramEnd"/>
      <w:r w:rsidRPr="00585BCA">
        <w:t xml:space="preserve"> </w:t>
      </w:r>
      <w:proofErr w:type="gramStart"/>
      <w:r w:rsidRPr="00585BCA">
        <w:t>Persuasion with case studies.</w:t>
      </w:r>
      <w:proofErr w:type="gramEnd"/>
      <w:r w:rsidRPr="00585BCA">
        <w:t xml:space="preserve"> Acad. Management </w:t>
      </w:r>
      <w:r w:rsidR="00BA3EFD" w:rsidRPr="00585BCA">
        <w:t xml:space="preserve">J. 50(1) </w:t>
      </w:r>
      <w:r w:rsidRPr="00585BCA">
        <w:t>20–24.</w:t>
      </w:r>
    </w:p>
    <w:p w14:paraId="45E43D00" w14:textId="54B648D4" w:rsidR="00957B6C" w:rsidRPr="00585BCA" w:rsidRDefault="00957B6C" w:rsidP="00B33E51">
      <w:pPr>
        <w:pStyle w:val="References"/>
        <w:spacing w:after="0"/>
        <w:ind w:left="284" w:hanging="284"/>
      </w:pPr>
      <w:r w:rsidRPr="00585BCA">
        <w:t xml:space="preserve">Simon, H. A. (1947/1976). </w:t>
      </w:r>
      <w:proofErr w:type="gramStart"/>
      <w:r w:rsidRPr="00585BCA">
        <w:t>Administrative behavior.</w:t>
      </w:r>
      <w:proofErr w:type="gramEnd"/>
      <w:r w:rsidRPr="00585BCA">
        <w:t xml:space="preserve"> New York: The Free Press.</w:t>
      </w:r>
    </w:p>
    <w:p w14:paraId="7F3A057B" w14:textId="77777777" w:rsidR="00B922CA" w:rsidRPr="00585BCA" w:rsidRDefault="00B922CA" w:rsidP="00B33E51">
      <w:pPr>
        <w:pStyle w:val="References"/>
        <w:spacing w:after="0"/>
        <w:ind w:left="284" w:hanging="284"/>
      </w:pPr>
      <w:proofErr w:type="gramStart"/>
      <w:r w:rsidRPr="00585BCA">
        <w:t>Simon, HA 1962.</w:t>
      </w:r>
      <w:proofErr w:type="gramEnd"/>
      <w:r w:rsidRPr="00585BCA">
        <w:t xml:space="preserve">  </w:t>
      </w:r>
      <w:proofErr w:type="gramStart"/>
      <w:r w:rsidRPr="00585BCA">
        <w:t>The Architecture of Complexity.</w:t>
      </w:r>
      <w:proofErr w:type="gramEnd"/>
      <w:r w:rsidRPr="00585BCA">
        <w:t xml:space="preserve"> Proc. American Philosophical Society, 156: 467-482.</w:t>
      </w:r>
    </w:p>
    <w:p w14:paraId="228888C0" w14:textId="671704CD" w:rsidR="006C1C36" w:rsidRPr="00585BCA" w:rsidRDefault="006C1C36" w:rsidP="00B33E51">
      <w:pPr>
        <w:pStyle w:val="References"/>
        <w:spacing w:after="0"/>
        <w:ind w:left="284" w:hanging="284"/>
      </w:pPr>
      <w:proofErr w:type="gramStart"/>
      <w:r w:rsidRPr="00585BCA">
        <w:t xml:space="preserve">Sosa, M., </w:t>
      </w:r>
      <w:proofErr w:type="spellStart"/>
      <w:r w:rsidRPr="00585BCA">
        <w:t>Eppinger</w:t>
      </w:r>
      <w:proofErr w:type="spellEnd"/>
      <w:r w:rsidRPr="00585BCA">
        <w:t>, S.</w:t>
      </w:r>
      <w:r w:rsidR="00B2049C" w:rsidRPr="00585BCA">
        <w:t>,</w:t>
      </w:r>
      <w:r w:rsidRPr="00585BCA">
        <w:t xml:space="preserve"> Rowles, C. 2004.</w:t>
      </w:r>
      <w:proofErr w:type="gramEnd"/>
      <w:r w:rsidRPr="00585BCA">
        <w:t xml:space="preserve"> </w:t>
      </w:r>
      <w:proofErr w:type="gramStart"/>
      <w:r w:rsidRPr="00585BCA">
        <w:t>The misalignment of product architecture and organizational structure in complex product development.</w:t>
      </w:r>
      <w:proofErr w:type="gramEnd"/>
      <w:r w:rsidRPr="00585BCA">
        <w:t xml:space="preserve"> Management Science, 50, 1674–1689</w:t>
      </w:r>
    </w:p>
    <w:p w14:paraId="01E11A7C" w14:textId="77777777" w:rsidR="00F21EEE" w:rsidRPr="00585BCA" w:rsidRDefault="002216FE" w:rsidP="00B33E51">
      <w:pPr>
        <w:pStyle w:val="References"/>
        <w:spacing w:after="0"/>
        <w:ind w:left="284" w:hanging="284"/>
      </w:pPr>
      <w:proofErr w:type="gramStart"/>
      <w:r w:rsidRPr="00585BCA">
        <w:t>Steward, D</w:t>
      </w:r>
      <w:r w:rsidR="00F21EEE" w:rsidRPr="00585BCA">
        <w:t xml:space="preserve"> 1981.</w:t>
      </w:r>
      <w:proofErr w:type="gramEnd"/>
      <w:r w:rsidR="00F21EEE" w:rsidRPr="00585BCA">
        <w:t xml:space="preserve"> The design str</w:t>
      </w:r>
      <w:r w:rsidR="00E572C5" w:rsidRPr="00585BCA">
        <w:t>ucture matrix: A method for man</w:t>
      </w:r>
      <w:r w:rsidR="00F21EEE" w:rsidRPr="00585BCA">
        <w:t>aging the d</w:t>
      </w:r>
      <w:r w:rsidRPr="00585BCA">
        <w:t xml:space="preserve">esign of complex systems. IEEE Transactions Engineering Management </w:t>
      </w:r>
      <w:r w:rsidR="00F21EEE" w:rsidRPr="00585BCA">
        <w:t>28(3)</w:t>
      </w:r>
      <w:r w:rsidRPr="00585BCA">
        <w:t>: 7</w:t>
      </w:r>
      <w:r w:rsidR="00F21EEE" w:rsidRPr="00585BCA">
        <w:t xml:space="preserve">1-74. </w:t>
      </w:r>
    </w:p>
    <w:p w14:paraId="33C1B50E" w14:textId="77777777" w:rsidR="00796118" w:rsidRPr="00585BCA" w:rsidRDefault="00A13A50" w:rsidP="00B33E51">
      <w:pPr>
        <w:pStyle w:val="References"/>
        <w:spacing w:after="0"/>
        <w:ind w:left="284" w:hanging="284"/>
      </w:pPr>
      <w:bookmarkStart w:id="7" w:name="_ENREF_83"/>
      <w:proofErr w:type="spellStart"/>
      <w:r w:rsidRPr="00585BCA">
        <w:t>Stinchcombe</w:t>
      </w:r>
      <w:proofErr w:type="spellEnd"/>
      <w:r w:rsidRPr="00585BCA">
        <w:t xml:space="preserve">, AL., CA. </w:t>
      </w:r>
      <w:proofErr w:type="spellStart"/>
      <w:r w:rsidRPr="00585BCA">
        <w:t>Heimer</w:t>
      </w:r>
      <w:proofErr w:type="spellEnd"/>
      <w:r w:rsidR="00796118" w:rsidRPr="00585BCA">
        <w:t xml:space="preserve"> 1985. Organization theory and project management: Administering uncertainty in Norwegian offshore oil</w:t>
      </w:r>
      <w:r w:rsidR="00D217E0" w:rsidRPr="00585BCA">
        <w:t xml:space="preserve">. </w:t>
      </w:r>
      <w:proofErr w:type="gramStart"/>
      <w:r w:rsidR="00796118" w:rsidRPr="00585BCA">
        <w:t>Scandinavian University Press.</w:t>
      </w:r>
      <w:bookmarkEnd w:id="7"/>
      <w:proofErr w:type="gramEnd"/>
    </w:p>
    <w:p w14:paraId="294BA1CC" w14:textId="3BA410A2" w:rsidR="00F21EEE" w:rsidRPr="00585BCA" w:rsidRDefault="00F21EEE" w:rsidP="00B33E51">
      <w:pPr>
        <w:pStyle w:val="References"/>
        <w:spacing w:after="0"/>
        <w:ind w:left="284" w:hanging="284"/>
      </w:pPr>
      <w:r w:rsidRPr="00585BCA">
        <w:t>Stone,</w:t>
      </w:r>
      <w:r w:rsidR="002216FE" w:rsidRPr="00585BCA">
        <w:t xml:space="preserve"> MM, Brush, C</w:t>
      </w:r>
      <w:r w:rsidRPr="00585BCA">
        <w:t xml:space="preserve">G1996. Planning in ambiguous contexts: the dilemma of meeting needs for commitment and demands for legitimacy. Strategic </w:t>
      </w:r>
      <w:proofErr w:type="spellStart"/>
      <w:r w:rsidR="00B33E51" w:rsidRPr="00585BCA">
        <w:t>M</w:t>
      </w:r>
      <w:r w:rsidR="00B33E51">
        <w:t>gt</w:t>
      </w:r>
      <w:proofErr w:type="spellEnd"/>
      <w:r w:rsidR="00B33E51" w:rsidRPr="00585BCA">
        <w:t xml:space="preserve"> </w:t>
      </w:r>
      <w:r w:rsidRPr="00585BCA">
        <w:t>Journal, 17</w:t>
      </w:r>
      <w:r w:rsidR="002216FE" w:rsidRPr="00585BCA">
        <w:t xml:space="preserve"> </w:t>
      </w:r>
      <w:r w:rsidR="00E66CF8" w:rsidRPr="00585BCA">
        <w:t>(</w:t>
      </w:r>
      <w:r w:rsidRPr="00585BCA">
        <w:t>8</w:t>
      </w:r>
      <w:r w:rsidR="00E66CF8" w:rsidRPr="00585BCA">
        <w:t>)</w:t>
      </w:r>
      <w:r w:rsidRPr="00585BCA">
        <w:t xml:space="preserve"> 633-652.</w:t>
      </w:r>
    </w:p>
    <w:p w14:paraId="49D029B6" w14:textId="77777777" w:rsidR="000D2DF4" w:rsidRPr="00585BCA" w:rsidRDefault="0042168F" w:rsidP="00B33E51">
      <w:pPr>
        <w:pStyle w:val="References"/>
        <w:spacing w:after="0"/>
        <w:ind w:left="284" w:hanging="284"/>
        <w:rPr>
          <w:i/>
          <w:iCs/>
          <w:sz w:val="24"/>
          <w:szCs w:val="24"/>
          <w:lang w:val="en-GB" w:eastAsia="en-GB"/>
        </w:rPr>
      </w:pPr>
      <w:r w:rsidRPr="00585BCA">
        <w:t>S</w:t>
      </w:r>
      <w:r w:rsidR="002216FE" w:rsidRPr="00585BCA">
        <w:t>usskind L., Cruikshank J. 1987</w:t>
      </w:r>
      <w:r w:rsidRPr="00585BCA">
        <w:t xml:space="preserve">. Breaking the impasse: Consensual approaches to resolving public disputes </w:t>
      </w:r>
      <w:r w:rsidRPr="00585BCA">
        <w:rPr>
          <w:i/>
          <w:iCs/>
          <w:sz w:val="24"/>
          <w:szCs w:val="24"/>
          <w:lang w:val="en-GB" w:eastAsia="en-GB"/>
        </w:rPr>
        <w:t>New York: Basic Books</w:t>
      </w:r>
    </w:p>
    <w:p w14:paraId="291F2524" w14:textId="77777777" w:rsidR="00D0078A" w:rsidRPr="00585BCA" w:rsidRDefault="00D0078A" w:rsidP="00B33E51">
      <w:pPr>
        <w:pStyle w:val="References"/>
        <w:spacing w:after="0"/>
        <w:ind w:left="284" w:hanging="284"/>
      </w:pPr>
      <w:bookmarkStart w:id="8" w:name="_ENREF_85"/>
      <w:proofErr w:type="spellStart"/>
      <w:r w:rsidRPr="00585BCA">
        <w:t>Szyliowicz</w:t>
      </w:r>
      <w:proofErr w:type="spellEnd"/>
      <w:r w:rsidRPr="00585BCA">
        <w:t xml:space="preserve">, JS, Goetz. </w:t>
      </w:r>
      <w:r w:rsidR="00877BE6" w:rsidRPr="00585BCA">
        <w:t xml:space="preserve">AR </w:t>
      </w:r>
      <w:r w:rsidRPr="00585BCA">
        <w:t xml:space="preserve">1995. </w:t>
      </w:r>
      <w:proofErr w:type="gramStart"/>
      <w:r w:rsidRPr="00585BCA">
        <w:t>Getting realistic about megaproject planning: The case of the new Denver International Airport.</w:t>
      </w:r>
      <w:proofErr w:type="gramEnd"/>
      <w:r w:rsidRPr="00585BCA">
        <w:t xml:space="preserve"> </w:t>
      </w:r>
      <w:r w:rsidRPr="00585BCA">
        <w:rPr>
          <w:i/>
        </w:rPr>
        <w:t>Policy Sciences</w:t>
      </w:r>
      <w:r w:rsidRPr="00585BCA">
        <w:t xml:space="preserve"> </w:t>
      </w:r>
      <w:r w:rsidRPr="00585BCA">
        <w:rPr>
          <w:b/>
        </w:rPr>
        <w:t>28</w:t>
      </w:r>
      <w:r w:rsidR="00877BE6" w:rsidRPr="00585BCA">
        <w:rPr>
          <w:b/>
        </w:rPr>
        <w:t xml:space="preserve"> </w:t>
      </w:r>
      <w:r w:rsidRPr="00585BCA">
        <w:t>(4) 347-367.</w:t>
      </w:r>
      <w:bookmarkEnd w:id="8"/>
    </w:p>
    <w:p w14:paraId="0B3B0FD5" w14:textId="77777777" w:rsidR="001D4620" w:rsidRPr="00585BCA" w:rsidRDefault="00CF696A" w:rsidP="00B33E51">
      <w:pPr>
        <w:pStyle w:val="References"/>
        <w:spacing w:after="0"/>
        <w:ind w:left="284" w:hanging="284"/>
        <w:rPr>
          <w:szCs w:val="22"/>
        </w:rPr>
      </w:pPr>
      <w:r w:rsidRPr="00585BCA">
        <w:t xml:space="preserve">Thomson </w:t>
      </w:r>
      <w:proofErr w:type="gramStart"/>
      <w:r w:rsidRPr="00585BCA">
        <w:t>AM</w:t>
      </w:r>
      <w:proofErr w:type="gramEnd"/>
      <w:r w:rsidR="002216FE" w:rsidRPr="00585BCA">
        <w:t>, Perry JL 2006.</w:t>
      </w:r>
      <w:r w:rsidRPr="00585BCA">
        <w:t xml:space="preserve"> </w:t>
      </w:r>
      <w:r w:rsidR="002216FE" w:rsidRPr="00585BCA">
        <w:t>Collaboration processes: Inside the black box</w:t>
      </w:r>
      <w:r w:rsidRPr="00585BCA">
        <w:t xml:space="preserve">. Public Administration </w:t>
      </w:r>
      <w:r w:rsidR="002216FE" w:rsidRPr="00585BCA">
        <w:t>Review</w:t>
      </w:r>
      <w:r w:rsidRPr="00585BCA">
        <w:t xml:space="preserve"> 66(S1)</w:t>
      </w:r>
      <w:r w:rsidR="002216FE" w:rsidRPr="00585BCA">
        <w:t>:</w:t>
      </w:r>
      <w:r w:rsidRPr="00585BCA">
        <w:t xml:space="preserve"> 20-32</w:t>
      </w:r>
      <w:r w:rsidR="00040DDC" w:rsidRPr="00585BCA">
        <w:rPr>
          <w:szCs w:val="22"/>
        </w:rPr>
        <w:t xml:space="preserve">, </w:t>
      </w:r>
    </w:p>
    <w:p w14:paraId="5541E1BF" w14:textId="7AA2D004" w:rsidR="00812BE8" w:rsidRPr="00585BCA" w:rsidRDefault="00812BE8" w:rsidP="00B33E51">
      <w:pPr>
        <w:pStyle w:val="References"/>
        <w:spacing w:after="0"/>
        <w:ind w:left="284" w:hanging="284"/>
        <w:rPr>
          <w:szCs w:val="22"/>
        </w:rPr>
      </w:pPr>
      <w:r w:rsidRPr="00585BCA">
        <w:rPr>
          <w:szCs w:val="22"/>
        </w:rPr>
        <w:t>Thompson 1967</w:t>
      </w:r>
      <w:r w:rsidR="00F36FDC" w:rsidRPr="00585BCA">
        <w:rPr>
          <w:szCs w:val="22"/>
        </w:rPr>
        <w:t xml:space="preserve"> Organizations in Action: Social Science Bases of Administrative Theory. Transaction Publishers</w:t>
      </w:r>
    </w:p>
    <w:p w14:paraId="2800DD0F" w14:textId="77777777" w:rsidR="00EF526B" w:rsidRPr="00585BCA" w:rsidRDefault="00D270A4" w:rsidP="00B33E51">
      <w:pPr>
        <w:pStyle w:val="References"/>
        <w:spacing w:after="0"/>
        <w:ind w:left="284" w:hanging="284"/>
      </w:pPr>
      <w:r w:rsidRPr="00585BCA">
        <w:t xml:space="preserve">Tuertscher, P., </w:t>
      </w:r>
      <w:proofErr w:type="spellStart"/>
      <w:r w:rsidRPr="00585BCA">
        <w:t>Garud</w:t>
      </w:r>
      <w:proofErr w:type="spellEnd"/>
      <w:r w:rsidRPr="00585BCA">
        <w:t xml:space="preserve">, R., </w:t>
      </w:r>
      <w:proofErr w:type="spellStart"/>
      <w:r w:rsidRPr="00585BCA">
        <w:t>Kumaraswamy</w:t>
      </w:r>
      <w:proofErr w:type="spellEnd"/>
      <w:r w:rsidRPr="00585BCA">
        <w:t xml:space="preserve">, A. 2014. </w:t>
      </w:r>
      <w:proofErr w:type="gramStart"/>
      <w:r w:rsidRPr="00585BCA">
        <w:t xml:space="preserve">Justification and Interlaced Knowledge at </w:t>
      </w:r>
      <w:r w:rsidRPr="00585BCA">
        <w:lastRenderedPageBreak/>
        <w:t>Atlas, CERN.</w:t>
      </w:r>
      <w:proofErr w:type="gramEnd"/>
      <w:r w:rsidRPr="00585BCA">
        <w:t xml:space="preserve"> Organization Science, Articles in Advance, 1-3</w:t>
      </w:r>
      <w:r w:rsidR="00EF526B" w:rsidRPr="00585BCA">
        <w:t>0</w:t>
      </w:r>
    </w:p>
    <w:p w14:paraId="0047728E" w14:textId="201EDCFD" w:rsidR="00EF526B" w:rsidRPr="00585BCA" w:rsidRDefault="00EF526B" w:rsidP="00B33E51">
      <w:pPr>
        <w:pStyle w:val="References"/>
        <w:spacing w:after="0"/>
        <w:ind w:left="284" w:hanging="284"/>
      </w:pPr>
      <w:r w:rsidRPr="00585BCA">
        <w:t xml:space="preserve">Van de </w:t>
      </w:r>
      <w:proofErr w:type="spellStart"/>
      <w:r w:rsidRPr="00585BCA">
        <w:t>Ven</w:t>
      </w:r>
      <w:proofErr w:type="spellEnd"/>
      <w:r w:rsidRPr="00585BCA">
        <w:t xml:space="preserve">, </w:t>
      </w:r>
      <w:proofErr w:type="gramStart"/>
      <w:r w:rsidRPr="00585BCA">
        <w:t>AH ,</w:t>
      </w:r>
      <w:proofErr w:type="gramEnd"/>
      <w:r w:rsidRPr="00585BCA">
        <w:t xml:space="preserve"> </w:t>
      </w:r>
      <w:proofErr w:type="spellStart"/>
      <w:r w:rsidRPr="00585BCA">
        <w:t>Ganco</w:t>
      </w:r>
      <w:proofErr w:type="spellEnd"/>
      <w:r w:rsidRPr="00585BCA">
        <w:t xml:space="preserve">, M., </w:t>
      </w:r>
      <w:proofErr w:type="spellStart"/>
      <w:r w:rsidRPr="00585BCA">
        <w:t>Hinings</w:t>
      </w:r>
      <w:proofErr w:type="spellEnd"/>
      <w:r w:rsidRPr="00585BCA">
        <w:t xml:space="preserve"> C.R. 2013. Returning to the Frontier of Contingency Theory of Organizational and Institutional Designs, </w:t>
      </w:r>
      <w:proofErr w:type="gramStart"/>
      <w:r w:rsidRPr="00585BCA">
        <w:t>The</w:t>
      </w:r>
      <w:proofErr w:type="gramEnd"/>
      <w:r w:rsidRPr="00585BCA">
        <w:t xml:space="preserve"> Academy of Management Annals, 7:1, 393-440</w:t>
      </w:r>
    </w:p>
    <w:p w14:paraId="2A3D0AE0" w14:textId="55F2FC12" w:rsidR="00F21EEE" w:rsidRPr="00585BCA" w:rsidRDefault="005020DA" w:rsidP="00B33E51">
      <w:pPr>
        <w:pStyle w:val="References"/>
        <w:spacing w:after="0"/>
        <w:ind w:left="284" w:hanging="284"/>
      </w:pPr>
      <w:proofErr w:type="spellStart"/>
      <w:r w:rsidRPr="00585BCA">
        <w:t>Wachs</w:t>
      </w:r>
      <w:proofErr w:type="spellEnd"/>
      <w:r w:rsidRPr="00585BCA">
        <w:t xml:space="preserve">, M. 1989. </w:t>
      </w:r>
      <w:proofErr w:type="gramStart"/>
      <w:r w:rsidR="00F21EEE" w:rsidRPr="00585BCA">
        <w:t>When Plann</w:t>
      </w:r>
      <w:r w:rsidRPr="00585BCA">
        <w:t>ers Lie with Numbers.</w:t>
      </w:r>
      <w:proofErr w:type="gramEnd"/>
      <w:r w:rsidR="00F21EEE" w:rsidRPr="00585BCA">
        <w:t xml:space="preserve"> Journal of the American Planning Association, 55 (4): 476-79.</w:t>
      </w:r>
    </w:p>
    <w:p w14:paraId="7F6D9E04" w14:textId="5B1089FC" w:rsidR="001576F2" w:rsidRDefault="001D4620" w:rsidP="00B33E51">
      <w:pPr>
        <w:pStyle w:val="References"/>
        <w:spacing w:after="0"/>
        <w:ind w:left="284" w:hanging="284"/>
        <w:rPr>
          <w:rStyle w:val="Strong"/>
          <w:b/>
        </w:rPr>
      </w:pPr>
      <w:proofErr w:type="gramStart"/>
      <w:r w:rsidRPr="00585BCA">
        <w:t>Yin, R.K. 1984</w:t>
      </w:r>
      <w:r w:rsidR="00F21EEE" w:rsidRPr="00585BCA">
        <w:t>.</w:t>
      </w:r>
      <w:proofErr w:type="gramEnd"/>
      <w:r w:rsidR="00F21EEE" w:rsidRPr="00585BCA">
        <w:t xml:space="preserve"> </w:t>
      </w:r>
      <w:proofErr w:type="gramStart"/>
      <w:r w:rsidR="00F21EEE" w:rsidRPr="00585BCA">
        <w:t>Case Study Research.</w:t>
      </w:r>
      <w:proofErr w:type="gramEnd"/>
      <w:r w:rsidR="00F21EEE" w:rsidRPr="00585BCA">
        <w:t xml:space="preserve"> </w:t>
      </w:r>
      <w:proofErr w:type="gramStart"/>
      <w:r w:rsidR="00F21EEE" w:rsidRPr="00585BCA">
        <w:t>Design and Methods (3rd Edition 2003).</w:t>
      </w:r>
      <w:proofErr w:type="gramEnd"/>
      <w:r w:rsidR="00F21EEE" w:rsidRPr="00585BCA">
        <w:t xml:space="preserve"> </w:t>
      </w:r>
      <w:proofErr w:type="gramStart"/>
      <w:r w:rsidR="00F21EEE" w:rsidRPr="00585BCA">
        <w:t>Applied Social Research Methods Series, Vol. 5.</w:t>
      </w:r>
      <w:proofErr w:type="gramEnd"/>
    </w:p>
    <w:tbl>
      <w:tblPr>
        <w:tblStyle w:val="TableGrid"/>
        <w:tblW w:w="8647" w:type="dxa"/>
        <w:tblInd w:w="-85" w:type="dxa"/>
        <w:tblLayout w:type="fixed"/>
        <w:tblCellMar>
          <w:left w:w="57" w:type="dxa"/>
          <w:right w:w="57" w:type="dxa"/>
        </w:tblCellMar>
        <w:tblLook w:val="04A0" w:firstRow="1" w:lastRow="0" w:firstColumn="1" w:lastColumn="0" w:noHBand="0" w:noVBand="1"/>
      </w:tblPr>
      <w:tblGrid>
        <w:gridCol w:w="1276"/>
        <w:gridCol w:w="1843"/>
        <w:gridCol w:w="1701"/>
        <w:gridCol w:w="1843"/>
        <w:gridCol w:w="1984"/>
      </w:tblGrid>
      <w:tr w:rsidR="001576F2" w:rsidRPr="00390B67" w14:paraId="677FA224" w14:textId="77777777" w:rsidTr="00044373">
        <w:tc>
          <w:tcPr>
            <w:tcW w:w="8647" w:type="dxa"/>
            <w:gridSpan w:val="5"/>
            <w:tcBorders>
              <w:top w:val="nil"/>
              <w:left w:val="nil"/>
              <w:bottom w:val="single" w:sz="4" w:space="0" w:color="auto"/>
              <w:right w:val="nil"/>
            </w:tcBorders>
          </w:tcPr>
          <w:p w14:paraId="7B4D81F6" w14:textId="77777777" w:rsidR="001576F2" w:rsidRPr="00390B67" w:rsidRDefault="001576F2" w:rsidP="00B33E51">
            <w:pPr>
              <w:pStyle w:val="Heading1"/>
              <w:numPr>
                <w:ilvl w:val="0"/>
                <w:numId w:val="0"/>
              </w:numPr>
              <w:spacing w:line="240" w:lineRule="auto"/>
              <w:rPr>
                <w:b w:val="0"/>
                <w:bCs w:val="0"/>
                <w:i/>
                <w:iCs/>
                <w:color w:val="4F81BD" w:themeColor="accent1"/>
                <w:lang w:eastAsia="fr-FR"/>
              </w:rPr>
            </w:pPr>
            <w:r w:rsidRPr="00390B67">
              <w:rPr>
                <w:rStyle w:val="SubtleReference"/>
                <w:sz w:val="24"/>
              </w:rPr>
              <w:t>Table 1 - Description of the Sample of Cases, Interviewees, and Archival Database</w:t>
            </w:r>
          </w:p>
        </w:tc>
      </w:tr>
      <w:tr w:rsidR="001576F2" w:rsidRPr="00390B67" w14:paraId="60B6710E" w14:textId="77777777" w:rsidTr="00B33E51">
        <w:tc>
          <w:tcPr>
            <w:tcW w:w="1276" w:type="dxa"/>
            <w:tcBorders>
              <w:top w:val="single" w:sz="4" w:space="0" w:color="auto"/>
            </w:tcBorders>
          </w:tcPr>
          <w:p w14:paraId="267C2EF3" w14:textId="77777777" w:rsidR="001576F2" w:rsidRPr="00390B67" w:rsidRDefault="001576F2" w:rsidP="00044373">
            <w:pPr>
              <w:spacing w:line="240" w:lineRule="auto"/>
              <w:ind w:firstLine="0"/>
              <w:jc w:val="center"/>
              <w:rPr>
                <w:rStyle w:val="SubtleReference"/>
                <w:rFonts w:eastAsiaTheme="majorEastAsia" w:cstheme="majorBidi"/>
                <w:b/>
                <w:bCs/>
              </w:rPr>
            </w:pPr>
            <w:r w:rsidRPr="00390B67">
              <w:rPr>
                <w:rStyle w:val="SubtleReference"/>
              </w:rPr>
              <w:t>Cases</w:t>
            </w:r>
          </w:p>
        </w:tc>
        <w:tc>
          <w:tcPr>
            <w:tcW w:w="1843" w:type="dxa"/>
            <w:tcBorders>
              <w:top w:val="single" w:sz="4" w:space="0" w:color="auto"/>
            </w:tcBorders>
          </w:tcPr>
          <w:p w14:paraId="0521DB06" w14:textId="77777777" w:rsidR="001576F2" w:rsidRPr="00390B67" w:rsidRDefault="001576F2" w:rsidP="00044373">
            <w:pPr>
              <w:spacing w:line="240" w:lineRule="auto"/>
              <w:ind w:firstLine="0"/>
              <w:jc w:val="center"/>
              <w:rPr>
                <w:rStyle w:val="SubtleReference"/>
                <w:rFonts w:eastAsiaTheme="majorEastAsia" w:cstheme="majorBidi"/>
                <w:b/>
                <w:bCs/>
              </w:rPr>
            </w:pPr>
            <w:r w:rsidRPr="00390B67">
              <w:rPr>
                <w:rStyle w:val="SubtleReference"/>
              </w:rPr>
              <w:t>London 2012</w:t>
            </w:r>
          </w:p>
        </w:tc>
        <w:tc>
          <w:tcPr>
            <w:tcW w:w="1701" w:type="dxa"/>
            <w:tcBorders>
              <w:top w:val="single" w:sz="4" w:space="0" w:color="auto"/>
            </w:tcBorders>
          </w:tcPr>
          <w:p w14:paraId="7EDC383D" w14:textId="77777777" w:rsidR="001576F2" w:rsidRPr="00390B67" w:rsidRDefault="001576F2" w:rsidP="00044373">
            <w:pPr>
              <w:spacing w:line="240" w:lineRule="auto"/>
              <w:ind w:firstLine="0"/>
              <w:jc w:val="center"/>
              <w:rPr>
                <w:rStyle w:val="SubtleReference"/>
                <w:rFonts w:eastAsiaTheme="majorEastAsia" w:cstheme="majorBidi"/>
                <w:b/>
                <w:bCs/>
              </w:rPr>
            </w:pPr>
            <w:r w:rsidRPr="00390B67">
              <w:rPr>
                <w:rStyle w:val="SubtleReference"/>
              </w:rPr>
              <w:t>Heathrow T2</w:t>
            </w:r>
          </w:p>
        </w:tc>
        <w:tc>
          <w:tcPr>
            <w:tcW w:w="1843" w:type="dxa"/>
            <w:tcBorders>
              <w:top w:val="single" w:sz="4" w:space="0" w:color="auto"/>
            </w:tcBorders>
          </w:tcPr>
          <w:p w14:paraId="61666BCD" w14:textId="77777777" w:rsidR="001576F2" w:rsidRPr="00390B67" w:rsidRDefault="001576F2" w:rsidP="00044373">
            <w:pPr>
              <w:spacing w:line="240" w:lineRule="auto"/>
              <w:ind w:firstLine="0"/>
              <w:jc w:val="center"/>
              <w:rPr>
                <w:rStyle w:val="SubtleReference"/>
                <w:rFonts w:eastAsiaTheme="majorEastAsia" w:cstheme="majorBidi"/>
                <w:b/>
                <w:bCs/>
              </w:rPr>
            </w:pPr>
            <w:r w:rsidRPr="00390B67">
              <w:rPr>
                <w:rStyle w:val="SubtleReference"/>
              </w:rPr>
              <w:t>London Crossrail</w:t>
            </w:r>
          </w:p>
        </w:tc>
        <w:tc>
          <w:tcPr>
            <w:tcW w:w="1984" w:type="dxa"/>
            <w:tcBorders>
              <w:top w:val="single" w:sz="4" w:space="0" w:color="auto"/>
            </w:tcBorders>
          </w:tcPr>
          <w:p w14:paraId="31428A0A" w14:textId="77777777" w:rsidR="001576F2" w:rsidRPr="00390B67" w:rsidRDefault="001576F2" w:rsidP="00044373">
            <w:pPr>
              <w:spacing w:line="240" w:lineRule="auto"/>
              <w:ind w:firstLine="0"/>
              <w:jc w:val="center"/>
              <w:rPr>
                <w:rStyle w:val="SubtleReference"/>
                <w:rFonts w:eastAsiaTheme="majorEastAsia" w:cstheme="majorBidi"/>
                <w:b/>
                <w:bCs/>
              </w:rPr>
            </w:pPr>
            <w:r w:rsidRPr="00390B67">
              <w:rPr>
                <w:rStyle w:val="SubtleReference"/>
              </w:rPr>
              <w:t>UK High-speed 2</w:t>
            </w:r>
          </w:p>
        </w:tc>
      </w:tr>
      <w:tr w:rsidR="001576F2" w:rsidRPr="00390B67" w14:paraId="1F9011AB" w14:textId="77777777" w:rsidTr="00B33E51">
        <w:tc>
          <w:tcPr>
            <w:tcW w:w="1276" w:type="dxa"/>
          </w:tcPr>
          <w:p w14:paraId="521C149B" w14:textId="77777777" w:rsidR="001576F2" w:rsidRPr="00390B67" w:rsidRDefault="001576F2" w:rsidP="00044373">
            <w:pPr>
              <w:spacing w:line="240" w:lineRule="auto"/>
              <w:ind w:firstLine="0"/>
              <w:jc w:val="left"/>
              <w:rPr>
                <w:rStyle w:val="SubtleReference"/>
              </w:rPr>
            </w:pPr>
            <w:r w:rsidRPr="00390B67">
              <w:rPr>
                <w:rStyle w:val="SubtleReference"/>
              </w:rPr>
              <w:t>System-level goal</w:t>
            </w:r>
          </w:p>
        </w:tc>
        <w:tc>
          <w:tcPr>
            <w:tcW w:w="1843" w:type="dxa"/>
          </w:tcPr>
          <w:p w14:paraId="1A4F5514" w14:textId="77777777" w:rsidR="001576F2" w:rsidRPr="00390B67" w:rsidRDefault="001576F2" w:rsidP="00044373">
            <w:pPr>
              <w:spacing w:line="240" w:lineRule="auto"/>
              <w:ind w:firstLine="0"/>
              <w:jc w:val="left"/>
              <w:rPr>
                <w:rStyle w:val="SubtleReference"/>
              </w:rPr>
            </w:pPr>
            <w:r w:rsidRPr="00390B67">
              <w:rPr>
                <w:rStyle w:val="SubtleReference"/>
              </w:rPr>
              <w:t>Build an Olympic park to host Games and catalyse urban regeneration</w:t>
            </w:r>
          </w:p>
        </w:tc>
        <w:tc>
          <w:tcPr>
            <w:tcW w:w="1701" w:type="dxa"/>
          </w:tcPr>
          <w:p w14:paraId="707FA0C7" w14:textId="77777777" w:rsidR="001576F2" w:rsidRPr="00390B67" w:rsidRDefault="001576F2" w:rsidP="00044373">
            <w:pPr>
              <w:spacing w:line="240" w:lineRule="auto"/>
              <w:ind w:firstLine="0"/>
              <w:jc w:val="left"/>
              <w:rPr>
                <w:rStyle w:val="SubtleReference"/>
              </w:rPr>
            </w:pPr>
            <w:r w:rsidRPr="00390B67">
              <w:rPr>
                <w:rStyle w:val="SubtleReference"/>
              </w:rPr>
              <w:t xml:space="preserve">Build a new terminal campus to create a dual-hub </w:t>
            </w:r>
            <w:r>
              <w:rPr>
                <w:rStyle w:val="SubtleReference"/>
              </w:rPr>
              <w:t xml:space="preserve">at Heathrow </w:t>
            </w:r>
            <w:r w:rsidRPr="00390B67">
              <w:rPr>
                <w:rStyle w:val="SubtleReference"/>
              </w:rPr>
              <w:t>airport</w:t>
            </w:r>
          </w:p>
        </w:tc>
        <w:tc>
          <w:tcPr>
            <w:tcW w:w="1843" w:type="dxa"/>
          </w:tcPr>
          <w:p w14:paraId="6B47DB31" w14:textId="77777777" w:rsidR="001576F2" w:rsidRPr="00390B67" w:rsidRDefault="001576F2" w:rsidP="00044373">
            <w:pPr>
              <w:spacing w:line="240" w:lineRule="auto"/>
              <w:ind w:firstLine="0"/>
              <w:jc w:val="left"/>
              <w:rPr>
                <w:rStyle w:val="SubtleReference"/>
              </w:rPr>
            </w:pPr>
            <w:r w:rsidRPr="00390B67">
              <w:rPr>
                <w:rStyle w:val="SubtleReference"/>
              </w:rPr>
              <w:t xml:space="preserve">Connect the East and West outer London with a new high-capacity train system </w:t>
            </w:r>
          </w:p>
        </w:tc>
        <w:tc>
          <w:tcPr>
            <w:tcW w:w="1984" w:type="dxa"/>
          </w:tcPr>
          <w:p w14:paraId="3EB0CC08" w14:textId="77777777" w:rsidR="001576F2" w:rsidRPr="00390B67" w:rsidRDefault="001576F2" w:rsidP="00044373">
            <w:pPr>
              <w:spacing w:line="240" w:lineRule="auto"/>
              <w:ind w:firstLine="0"/>
              <w:jc w:val="left"/>
              <w:rPr>
                <w:rStyle w:val="SubtleReference"/>
              </w:rPr>
            </w:pPr>
            <w:r w:rsidRPr="00390B67">
              <w:rPr>
                <w:rStyle w:val="SubtleReference"/>
              </w:rPr>
              <w:t>Build a cross-country railway to increase national transport capacity</w:t>
            </w:r>
          </w:p>
        </w:tc>
      </w:tr>
      <w:tr w:rsidR="001576F2" w:rsidRPr="00390B67" w14:paraId="17E2AAE9" w14:textId="77777777" w:rsidTr="00B33E51">
        <w:tc>
          <w:tcPr>
            <w:tcW w:w="1276" w:type="dxa"/>
          </w:tcPr>
          <w:p w14:paraId="7502A0E3" w14:textId="77777777" w:rsidR="001576F2" w:rsidRPr="00390B67" w:rsidRDefault="001576F2" w:rsidP="00044373">
            <w:pPr>
              <w:spacing w:line="240" w:lineRule="auto"/>
              <w:ind w:firstLine="0"/>
              <w:jc w:val="left"/>
              <w:rPr>
                <w:rStyle w:val="SubtleReference"/>
              </w:rPr>
            </w:pPr>
            <w:r>
              <w:rPr>
                <w:rStyle w:val="SubtleReference"/>
              </w:rPr>
              <w:t>Membership</w:t>
            </w:r>
            <w:r w:rsidRPr="00390B67">
              <w:rPr>
                <w:rStyle w:val="SubtleReference"/>
              </w:rPr>
              <w:t xml:space="preserve"> of the promoter</w:t>
            </w:r>
          </w:p>
        </w:tc>
        <w:tc>
          <w:tcPr>
            <w:tcW w:w="1843" w:type="dxa"/>
          </w:tcPr>
          <w:p w14:paraId="00E32785" w14:textId="77777777" w:rsidR="001576F2" w:rsidRPr="00390B67" w:rsidRDefault="001576F2" w:rsidP="00044373">
            <w:pPr>
              <w:spacing w:line="240" w:lineRule="auto"/>
              <w:ind w:firstLine="0"/>
              <w:jc w:val="left"/>
              <w:rPr>
                <w:rStyle w:val="SubtleReference"/>
                <w:i/>
              </w:rPr>
            </w:pPr>
            <w:r w:rsidRPr="00390B67">
              <w:rPr>
                <w:rStyle w:val="SubtleReference"/>
              </w:rPr>
              <w:t>Coalition:</w:t>
            </w:r>
            <w:r w:rsidRPr="00390B67">
              <w:rPr>
                <w:rStyle w:val="SubtleReference"/>
                <w:i/>
              </w:rPr>
              <w:t xml:space="preserve"> UK and London governments; BOA(§); LOCOG(§)</w:t>
            </w:r>
          </w:p>
        </w:tc>
        <w:tc>
          <w:tcPr>
            <w:tcW w:w="1701" w:type="dxa"/>
          </w:tcPr>
          <w:p w14:paraId="256FC0F5" w14:textId="77777777" w:rsidR="001576F2" w:rsidRPr="00390B67" w:rsidRDefault="001576F2" w:rsidP="00044373">
            <w:pPr>
              <w:spacing w:line="240" w:lineRule="auto"/>
              <w:ind w:firstLine="0"/>
              <w:jc w:val="left"/>
              <w:rPr>
                <w:rStyle w:val="SubtleReference"/>
                <w:i/>
              </w:rPr>
            </w:pPr>
            <w:r w:rsidRPr="00390B67">
              <w:rPr>
                <w:rStyle w:val="SubtleReference"/>
              </w:rPr>
              <w:t>Solo:</w:t>
            </w:r>
            <w:r w:rsidRPr="00390B67">
              <w:rPr>
                <w:rStyle w:val="SubtleReference"/>
                <w:i/>
              </w:rPr>
              <w:t xml:space="preserve"> </w:t>
            </w:r>
          </w:p>
          <w:p w14:paraId="4B4A2DDA" w14:textId="77777777" w:rsidR="001576F2" w:rsidRPr="00390B67" w:rsidRDefault="001576F2" w:rsidP="00044373">
            <w:pPr>
              <w:spacing w:line="240" w:lineRule="auto"/>
              <w:ind w:firstLine="0"/>
              <w:jc w:val="left"/>
              <w:rPr>
                <w:rStyle w:val="SubtleReference"/>
                <w:i/>
              </w:rPr>
            </w:pPr>
            <w:r w:rsidRPr="00390B67">
              <w:rPr>
                <w:rStyle w:val="SubtleReference"/>
                <w:i/>
              </w:rPr>
              <w:t xml:space="preserve">BAA (regulated airport owner) </w:t>
            </w:r>
          </w:p>
        </w:tc>
        <w:tc>
          <w:tcPr>
            <w:tcW w:w="1843" w:type="dxa"/>
          </w:tcPr>
          <w:p w14:paraId="77CDE809" w14:textId="77777777" w:rsidR="001576F2" w:rsidRPr="00390B67" w:rsidRDefault="001576F2" w:rsidP="00044373">
            <w:pPr>
              <w:spacing w:line="240" w:lineRule="auto"/>
              <w:ind w:firstLine="0"/>
              <w:jc w:val="left"/>
              <w:rPr>
                <w:rStyle w:val="SubtleReference"/>
                <w:i/>
              </w:rPr>
            </w:pPr>
            <w:r w:rsidRPr="00390B67">
              <w:rPr>
                <w:rStyle w:val="SubtleReference"/>
              </w:rPr>
              <w:t>Coalition:</w:t>
            </w:r>
            <w:r w:rsidRPr="00390B67">
              <w:rPr>
                <w:rStyle w:val="SubtleReference"/>
                <w:i/>
              </w:rPr>
              <w:t xml:space="preserve"> UK and London Governments</w:t>
            </w:r>
          </w:p>
        </w:tc>
        <w:tc>
          <w:tcPr>
            <w:tcW w:w="1984" w:type="dxa"/>
          </w:tcPr>
          <w:p w14:paraId="314B8FB7" w14:textId="77777777" w:rsidR="001576F2" w:rsidRPr="00390B67" w:rsidRDefault="001576F2" w:rsidP="00044373">
            <w:pPr>
              <w:spacing w:line="240" w:lineRule="auto"/>
              <w:ind w:firstLine="0"/>
              <w:jc w:val="left"/>
              <w:rPr>
                <w:rStyle w:val="SubtleReference"/>
              </w:rPr>
            </w:pPr>
            <w:r w:rsidRPr="00390B67">
              <w:rPr>
                <w:rStyle w:val="SubtleReference"/>
              </w:rPr>
              <w:t>Solo:</w:t>
            </w:r>
          </w:p>
          <w:p w14:paraId="3AD52F48" w14:textId="77777777" w:rsidR="001576F2" w:rsidRPr="00390B67" w:rsidRDefault="001576F2" w:rsidP="00044373">
            <w:pPr>
              <w:spacing w:line="240" w:lineRule="auto"/>
              <w:ind w:firstLine="0"/>
              <w:jc w:val="left"/>
              <w:rPr>
                <w:rStyle w:val="SubtleReference"/>
                <w:i/>
              </w:rPr>
            </w:pPr>
            <w:r w:rsidRPr="00390B67">
              <w:rPr>
                <w:rStyle w:val="SubtleReference"/>
                <w:i/>
              </w:rPr>
              <w:t>UK Government</w:t>
            </w:r>
          </w:p>
          <w:p w14:paraId="1F83A1CB" w14:textId="77777777" w:rsidR="001576F2" w:rsidRPr="00390B67" w:rsidRDefault="001576F2" w:rsidP="00044373">
            <w:pPr>
              <w:spacing w:line="240" w:lineRule="auto"/>
              <w:ind w:firstLine="0"/>
              <w:jc w:val="left"/>
              <w:rPr>
                <w:rStyle w:val="SubtleReference"/>
              </w:rPr>
            </w:pPr>
          </w:p>
        </w:tc>
      </w:tr>
      <w:tr w:rsidR="001576F2" w:rsidRPr="00390B67" w14:paraId="633B9705" w14:textId="77777777" w:rsidTr="00B33E51">
        <w:tc>
          <w:tcPr>
            <w:tcW w:w="1276" w:type="dxa"/>
          </w:tcPr>
          <w:p w14:paraId="6DC36F07" w14:textId="77777777" w:rsidR="001576F2" w:rsidRPr="00390B67" w:rsidRDefault="001576F2" w:rsidP="00044373">
            <w:pPr>
              <w:spacing w:line="240" w:lineRule="auto"/>
              <w:ind w:firstLine="0"/>
              <w:jc w:val="left"/>
              <w:rPr>
                <w:rStyle w:val="SubtleReference"/>
              </w:rPr>
            </w:pPr>
            <w:r w:rsidRPr="00390B67">
              <w:rPr>
                <w:rStyle w:val="SubtleReference"/>
              </w:rPr>
              <w:t xml:space="preserve">Outcome of the </w:t>
            </w:r>
            <w:r>
              <w:rPr>
                <w:rStyle w:val="SubtleReference"/>
              </w:rPr>
              <w:t>planning effort</w:t>
            </w:r>
            <w:r w:rsidRPr="00390B67">
              <w:rPr>
                <w:rStyle w:val="SubtleReference"/>
              </w:rPr>
              <w:t xml:space="preserve"> </w:t>
            </w:r>
          </w:p>
        </w:tc>
        <w:tc>
          <w:tcPr>
            <w:tcW w:w="1843" w:type="dxa"/>
          </w:tcPr>
          <w:p w14:paraId="7D875D32" w14:textId="77777777" w:rsidR="001576F2" w:rsidRPr="00390B67" w:rsidRDefault="001576F2" w:rsidP="00044373">
            <w:pPr>
              <w:spacing w:line="240" w:lineRule="auto"/>
              <w:ind w:firstLine="0"/>
              <w:jc w:val="left"/>
              <w:rPr>
                <w:rStyle w:val="SubtleReference"/>
              </w:rPr>
            </w:pPr>
            <w:r w:rsidRPr="00390B67">
              <w:rPr>
                <w:rStyle w:val="SubtleReference"/>
              </w:rPr>
              <w:t xml:space="preserve">Formal </w:t>
            </w:r>
            <w:r>
              <w:rPr>
                <w:rStyle w:val="SubtleReference"/>
              </w:rPr>
              <w:t>performance baseline</w:t>
            </w:r>
            <w:r w:rsidRPr="00390B67">
              <w:rPr>
                <w:rStyle w:val="SubtleReference"/>
              </w:rPr>
              <w:t xml:space="preserve"> </w:t>
            </w:r>
          </w:p>
          <w:p w14:paraId="4D0F3888" w14:textId="77777777" w:rsidR="001576F2" w:rsidRPr="00390B67" w:rsidRDefault="001576F2" w:rsidP="00044373">
            <w:pPr>
              <w:spacing w:line="240" w:lineRule="auto"/>
              <w:ind w:firstLine="0"/>
              <w:jc w:val="left"/>
              <w:rPr>
                <w:rStyle w:val="SubtleReference"/>
                <w:i/>
              </w:rPr>
            </w:pPr>
            <w:r w:rsidRPr="00390B67">
              <w:rPr>
                <w:rStyle w:val="SubtleReference"/>
                <w:i/>
              </w:rPr>
              <w:t>Yellow book (2007)</w:t>
            </w:r>
          </w:p>
          <w:p w14:paraId="5BF88C80" w14:textId="77777777" w:rsidR="001576F2" w:rsidRPr="00390B67" w:rsidRDefault="001576F2" w:rsidP="00044373">
            <w:pPr>
              <w:spacing w:line="240" w:lineRule="auto"/>
              <w:ind w:firstLine="0"/>
              <w:jc w:val="left"/>
              <w:rPr>
                <w:rStyle w:val="SubtleReference"/>
              </w:rPr>
            </w:pPr>
            <w:r w:rsidRPr="00390B67">
              <w:rPr>
                <w:rStyle w:val="SubtleReference"/>
                <w:i/>
              </w:rPr>
              <w:t>Blue book (2009)</w:t>
            </w:r>
          </w:p>
        </w:tc>
        <w:tc>
          <w:tcPr>
            <w:tcW w:w="1701" w:type="dxa"/>
          </w:tcPr>
          <w:p w14:paraId="6932F532" w14:textId="77777777" w:rsidR="001576F2" w:rsidRPr="00390B67" w:rsidRDefault="001576F2" w:rsidP="00044373">
            <w:pPr>
              <w:spacing w:line="240" w:lineRule="auto"/>
              <w:ind w:firstLine="0"/>
              <w:jc w:val="left"/>
              <w:rPr>
                <w:rStyle w:val="SubtleReference"/>
              </w:rPr>
            </w:pPr>
            <w:r w:rsidRPr="00390B67">
              <w:rPr>
                <w:rStyle w:val="SubtleReference"/>
              </w:rPr>
              <w:t>Legal contract</w:t>
            </w:r>
            <w:r>
              <w:rPr>
                <w:rStyle w:val="SubtleReference"/>
              </w:rPr>
              <w:t xml:space="preserve"> setting performance targets</w:t>
            </w:r>
          </w:p>
          <w:p w14:paraId="62F5722D" w14:textId="77777777" w:rsidR="001576F2" w:rsidRPr="00390B67" w:rsidRDefault="001576F2" w:rsidP="00044373">
            <w:pPr>
              <w:spacing w:line="240" w:lineRule="auto"/>
              <w:ind w:firstLine="0"/>
              <w:jc w:val="left"/>
              <w:rPr>
                <w:rStyle w:val="SubtleReference"/>
                <w:i/>
              </w:rPr>
            </w:pPr>
            <w:r w:rsidRPr="00390B67">
              <w:rPr>
                <w:rStyle w:val="SubtleReference"/>
                <w:i/>
              </w:rPr>
              <w:t>5-year capital investment plan</w:t>
            </w:r>
          </w:p>
        </w:tc>
        <w:tc>
          <w:tcPr>
            <w:tcW w:w="1843" w:type="dxa"/>
          </w:tcPr>
          <w:p w14:paraId="7D2A2194" w14:textId="77777777" w:rsidR="001576F2" w:rsidRPr="00390B67" w:rsidRDefault="001576F2" w:rsidP="00044373">
            <w:pPr>
              <w:spacing w:line="240" w:lineRule="auto"/>
              <w:ind w:firstLine="0"/>
              <w:jc w:val="left"/>
              <w:rPr>
                <w:rStyle w:val="SubtleReference"/>
              </w:rPr>
            </w:pPr>
            <w:r w:rsidRPr="00390B67">
              <w:rPr>
                <w:rStyle w:val="SubtleReference"/>
              </w:rPr>
              <w:t>Legal contract</w:t>
            </w:r>
            <w:r>
              <w:rPr>
                <w:rStyle w:val="SubtleReference"/>
              </w:rPr>
              <w:t xml:space="preserve"> setting scope and assurances</w:t>
            </w:r>
          </w:p>
          <w:p w14:paraId="545726EC" w14:textId="77777777" w:rsidR="001576F2" w:rsidRPr="00390B67" w:rsidRDefault="001576F2" w:rsidP="00044373">
            <w:pPr>
              <w:spacing w:line="240" w:lineRule="auto"/>
              <w:ind w:firstLine="0"/>
              <w:jc w:val="left"/>
              <w:rPr>
                <w:rStyle w:val="SubtleReference"/>
              </w:rPr>
            </w:pPr>
          </w:p>
          <w:p w14:paraId="2E7D04D3" w14:textId="77777777" w:rsidR="001576F2" w:rsidRPr="00390B67" w:rsidRDefault="001576F2" w:rsidP="00044373">
            <w:pPr>
              <w:spacing w:line="240" w:lineRule="auto"/>
              <w:ind w:firstLine="0"/>
              <w:jc w:val="left"/>
              <w:rPr>
                <w:rStyle w:val="SubtleReference"/>
              </w:rPr>
            </w:pPr>
            <w:r w:rsidRPr="00390B67">
              <w:rPr>
                <w:rStyle w:val="SubtleReference"/>
                <w:i/>
              </w:rPr>
              <w:t xml:space="preserve">Parliamentary bill </w:t>
            </w:r>
          </w:p>
        </w:tc>
        <w:tc>
          <w:tcPr>
            <w:tcW w:w="1984" w:type="dxa"/>
          </w:tcPr>
          <w:p w14:paraId="0D2EEB5F" w14:textId="77777777" w:rsidR="001576F2" w:rsidRPr="00390B67" w:rsidRDefault="001576F2" w:rsidP="00044373">
            <w:pPr>
              <w:spacing w:line="240" w:lineRule="auto"/>
              <w:ind w:firstLine="0"/>
              <w:jc w:val="left"/>
              <w:rPr>
                <w:rStyle w:val="SubtleReference"/>
              </w:rPr>
            </w:pPr>
            <w:r w:rsidRPr="00390B67">
              <w:rPr>
                <w:rStyle w:val="SubtleReference"/>
              </w:rPr>
              <w:t>Legal contract</w:t>
            </w:r>
            <w:r>
              <w:rPr>
                <w:rStyle w:val="SubtleReference"/>
              </w:rPr>
              <w:t xml:space="preserve"> setting scope and assurances</w:t>
            </w:r>
          </w:p>
          <w:p w14:paraId="5C085162" w14:textId="77777777" w:rsidR="001576F2" w:rsidRPr="00390B67" w:rsidRDefault="001576F2" w:rsidP="00044373">
            <w:pPr>
              <w:spacing w:line="240" w:lineRule="auto"/>
              <w:ind w:firstLine="0"/>
              <w:jc w:val="left"/>
              <w:rPr>
                <w:rStyle w:val="SubtleReference"/>
              </w:rPr>
            </w:pPr>
          </w:p>
          <w:p w14:paraId="46270D72" w14:textId="77777777" w:rsidR="001576F2" w:rsidRPr="00390B67" w:rsidRDefault="001576F2" w:rsidP="00044373">
            <w:pPr>
              <w:spacing w:line="240" w:lineRule="auto"/>
              <w:ind w:firstLine="0"/>
              <w:jc w:val="left"/>
              <w:rPr>
                <w:rStyle w:val="SubtleReference"/>
              </w:rPr>
            </w:pPr>
            <w:r w:rsidRPr="00390B67">
              <w:rPr>
                <w:rStyle w:val="SubtleReference"/>
                <w:i/>
              </w:rPr>
              <w:t>Parliamentary bill</w:t>
            </w:r>
          </w:p>
        </w:tc>
      </w:tr>
      <w:tr w:rsidR="001576F2" w:rsidRPr="00390B67" w14:paraId="169DAC32" w14:textId="77777777" w:rsidTr="00B33E51">
        <w:trPr>
          <w:trHeight w:val="178"/>
        </w:trPr>
        <w:tc>
          <w:tcPr>
            <w:tcW w:w="1276" w:type="dxa"/>
          </w:tcPr>
          <w:p w14:paraId="001D7509" w14:textId="1D25E427" w:rsidR="001576F2" w:rsidRPr="00390B67" w:rsidRDefault="001576F2" w:rsidP="00B33E51">
            <w:pPr>
              <w:spacing w:line="240" w:lineRule="auto"/>
              <w:ind w:firstLine="0"/>
              <w:jc w:val="left"/>
              <w:rPr>
                <w:rStyle w:val="SubtleReference"/>
              </w:rPr>
            </w:pPr>
            <w:r w:rsidRPr="00390B67">
              <w:rPr>
                <w:rStyle w:val="SubtleReference"/>
              </w:rPr>
              <w:t xml:space="preserve">Interviews  </w:t>
            </w:r>
          </w:p>
        </w:tc>
        <w:tc>
          <w:tcPr>
            <w:tcW w:w="1843" w:type="dxa"/>
          </w:tcPr>
          <w:p w14:paraId="051F820F" w14:textId="77777777" w:rsidR="001576F2" w:rsidRPr="00390B67" w:rsidRDefault="001576F2" w:rsidP="00044373">
            <w:pPr>
              <w:spacing w:line="240" w:lineRule="auto"/>
              <w:ind w:firstLine="0"/>
              <w:jc w:val="left"/>
              <w:rPr>
                <w:rStyle w:val="SubtleReference"/>
              </w:rPr>
            </w:pPr>
            <w:r w:rsidRPr="00390B67">
              <w:rPr>
                <w:rStyle w:val="SubtleReference"/>
              </w:rPr>
              <w:t>36 (11 disputes)</w:t>
            </w:r>
          </w:p>
        </w:tc>
        <w:tc>
          <w:tcPr>
            <w:tcW w:w="1701" w:type="dxa"/>
          </w:tcPr>
          <w:p w14:paraId="24CD3E3D" w14:textId="77777777" w:rsidR="001576F2" w:rsidRPr="00390B67" w:rsidRDefault="001576F2" w:rsidP="00044373">
            <w:pPr>
              <w:spacing w:line="240" w:lineRule="auto"/>
              <w:ind w:firstLine="0"/>
              <w:jc w:val="left"/>
              <w:rPr>
                <w:rStyle w:val="SubtleReference"/>
              </w:rPr>
            </w:pPr>
            <w:r w:rsidRPr="00390B67">
              <w:rPr>
                <w:rStyle w:val="SubtleReference"/>
              </w:rPr>
              <w:t>19 (5 disputes)</w:t>
            </w:r>
          </w:p>
        </w:tc>
        <w:tc>
          <w:tcPr>
            <w:tcW w:w="1843" w:type="dxa"/>
          </w:tcPr>
          <w:p w14:paraId="70D96244" w14:textId="77777777" w:rsidR="001576F2" w:rsidRPr="00390B67" w:rsidRDefault="001576F2" w:rsidP="00044373">
            <w:pPr>
              <w:spacing w:line="240" w:lineRule="auto"/>
              <w:ind w:firstLine="0"/>
              <w:jc w:val="left"/>
              <w:rPr>
                <w:rStyle w:val="SubtleReference"/>
              </w:rPr>
            </w:pPr>
            <w:r w:rsidRPr="00390B67">
              <w:rPr>
                <w:rStyle w:val="SubtleReference"/>
              </w:rPr>
              <w:t>33 (9 disputes)</w:t>
            </w:r>
          </w:p>
        </w:tc>
        <w:tc>
          <w:tcPr>
            <w:tcW w:w="1984" w:type="dxa"/>
          </w:tcPr>
          <w:p w14:paraId="5E9BB5E3" w14:textId="77777777" w:rsidR="001576F2" w:rsidRPr="00390B67" w:rsidRDefault="001576F2" w:rsidP="00044373">
            <w:pPr>
              <w:spacing w:line="240" w:lineRule="auto"/>
              <w:ind w:firstLine="0"/>
              <w:jc w:val="left"/>
              <w:rPr>
                <w:rStyle w:val="SubtleReference"/>
              </w:rPr>
            </w:pPr>
            <w:r w:rsidRPr="00390B67">
              <w:rPr>
                <w:rStyle w:val="SubtleReference"/>
              </w:rPr>
              <w:t>35 (12 disputes)</w:t>
            </w:r>
          </w:p>
        </w:tc>
      </w:tr>
      <w:tr w:rsidR="001576F2" w:rsidRPr="00390B67" w14:paraId="0AC5CEDE" w14:textId="77777777" w:rsidTr="00B33E51">
        <w:trPr>
          <w:trHeight w:val="70"/>
        </w:trPr>
        <w:tc>
          <w:tcPr>
            <w:tcW w:w="1276" w:type="dxa"/>
          </w:tcPr>
          <w:p w14:paraId="39E3AEC4" w14:textId="77777777" w:rsidR="001576F2" w:rsidRPr="00390B67" w:rsidRDefault="001576F2" w:rsidP="00044373">
            <w:pPr>
              <w:spacing w:line="240" w:lineRule="auto"/>
              <w:ind w:firstLine="0"/>
              <w:jc w:val="left"/>
              <w:rPr>
                <w:rStyle w:val="SubtleReference"/>
              </w:rPr>
            </w:pPr>
            <w:r w:rsidRPr="00390B67">
              <w:rPr>
                <w:rStyle w:val="SubtleReference"/>
              </w:rPr>
              <w:t xml:space="preserve">Number and description of organizations interviewed </w:t>
            </w:r>
          </w:p>
          <w:p w14:paraId="6EB45C4F" w14:textId="77777777" w:rsidR="001576F2" w:rsidRPr="00390B67" w:rsidRDefault="001576F2" w:rsidP="00044373">
            <w:pPr>
              <w:spacing w:line="240" w:lineRule="auto"/>
              <w:ind w:firstLine="0"/>
              <w:jc w:val="left"/>
              <w:rPr>
                <w:rStyle w:val="SubtleReference"/>
              </w:rPr>
            </w:pPr>
          </w:p>
        </w:tc>
        <w:tc>
          <w:tcPr>
            <w:tcW w:w="1843" w:type="dxa"/>
          </w:tcPr>
          <w:p w14:paraId="18462B01" w14:textId="77777777" w:rsidR="001576F2" w:rsidRPr="00390B67" w:rsidRDefault="001576F2" w:rsidP="00044373">
            <w:pPr>
              <w:spacing w:line="240" w:lineRule="auto"/>
              <w:ind w:firstLine="0"/>
              <w:jc w:val="left"/>
              <w:rPr>
                <w:rStyle w:val="SubtleReference"/>
              </w:rPr>
            </w:pPr>
            <w:r w:rsidRPr="00390B67">
              <w:rPr>
                <w:rStyle w:val="SubtleReference"/>
              </w:rPr>
              <w:t>8:</w:t>
            </w:r>
          </w:p>
          <w:p w14:paraId="56EC72D8" w14:textId="51AE66E9" w:rsidR="001576F2" w:rsidRPr="00390B67" w:rsidRDefault="001576F2" w:rsidP="00044373">
            <w:pPr>
              <w:spacing w:line="240" w:lineRule="auto"/>
              <w:ind w:firstLine="0"/>
              <w:jc w:val="left"/>
              <w:rPr>
                <w:rStyle w:val="SubtleReference"/>
              </w:rPr>
            </w:pPr>
            <w:r w:rsidRPr="00390B67">
              <w:rPr>
                <w:rStyle w:val="SubtleReference"/>
                <w:i/>
              </w:rPr>
              <w:t>London2012 (bid company) ODA  (promoters’ agent); LOCOG (games operator); OPLC (park operator); Transport for London ; CLM (programme manager); Land Lease (private developer); Network Rail (owner of rail infrastructure)</w:t>
            </w:r>
          </w:p>
        </w:tc>
        <w:tc>
          <w:tcPr>
            <w:tcW w:w="1701" w:type="dxa"/>
          </w:tcPr>
          <w:p w14:paraId="47FEAC20" w14:textId="77777777" w:rsidR="001576F2" w:rsidRPr="00390B67" w:rsidRDefault="001576F2" w:rsidP="00044373">
            <w:pPr>
              <w:spacing w:line="240" w:lineRule="auto"/>
              <w:ind w:firstLine="0"/>
              <w:jc w:val="left"/>
              <w:rPr>
                <w:rStyle w:val="SubtleReference"/>
                <w:i/>
              </w:rPr>
            </w:pPr>
            <w:r w:rsidRPr="00390B67">
              <w:rPr>
                <w:rStyle w:val="SubtleReference"/>
              </w:rPr>
              <w:t>5</w:t>
            </w:r>
            <w:r w:rsidRPr="00390B67">
              <w:rPr>
                <w:rStyle w:val="SubtleReference"/>
                <w:i/>
              </w:rPr>
              <w:t>:</w:t>
            </w:r>
          </w:p>
          <w:p w14:paraId="101E116F" w14:textId="77777777" w:rsidR="001576F2" w:rsidRPr="00390B67" w:rsidRDefault="001576F2" w:rsidP="00044373">
            <w:pPr>
              <w:spacing w:line="240" w:lineRule="auto"/>
              <w:ind w:firstLine="0"/>
              <w:jc w:val="left"/>
              <w:rPr>
                <w:rStyle w:val="SubtleReference"/>
                <w:i/>
              </w:rPr>
            </w:pPr>
            <w:r w:rsidRPr="00390B67">
              <w:rPr>
                <w:rStyle w:val="SubtleReference"/>
                <w:i/>
              </w:rPr>
              <w:t xml:space="preserve"> STAR Alliance, Air Canada, BAA, </w:t>
            </w:r>
          </w:p>
          <w:p w14:paraId="6C8F7F93" w14:textId="77777777" w:rsidR="001576F2" w:rsidRPr="00390B67" w:rsidRDefault="001576F2" w:rsidP="00044373">
            <w:pPr>
              <w:spacing w:line="240" w:lineRule="auto"/>
              <w:ind w:firstLine="0"/>
              <w:jc w:val="left"/>
              <w:rPr>
                <w:rStyle w:val="SubtleReference"/>
              </w:rPr>
            </w:pPr>
            <w:proofErr w:type="spellStart"/>
            <w:r w:rsidRPr="00390B67">
              <w:rPr>
                <w:rStyle w:val="SubtleReference"/>
                <w:i/>
              </w:rPr>
              <w:t>HETCo</w:t>
            </w:r>
            <w:proofErr w:type="spellEnd"/>
            <w:r w:rsidRPr="00390B67">
              <w:rPr>
                <w:rStyle w:val="SubtleReference"/>
                <w:i/>
              </w:rPr>
              <w:t xml:space="preserve"> and Balfour Beatty (private design and build companies)</w:t>
            </w:r>
          </w:p>
        </w:tc>
        <w:tc>
          <w:tcPr>
            <w:tcW w:w="1843" w:type="dxa"/>
          </w:tcPr>
          <w:p w14:paraId="581E29B4" w14:textId="77777777" w:rsidR="001576F2" w:rsidRPr="00390B67" w:rsidRDefault="001576F2" w:rsidP="00044373">
            <w:pPr>
              <w:spacing w:line="240" w:lineRule="auto"/>
              <w:ind w:firstLine="0"/>
              <w:jc w:val="left"/>
              <w:rPr>
                <w:rStyle w:val="SubtleReference"/>
              </w:rPr>
            </w:pPr>
            <w:r w:rsidRPr="00390B67">
              <w:rPr>
                <w:rStyle w:val="SubtleReference"/>
              </w:rPr>
              <w:t>8</w:t>
            </w:r>
            <w:r w:rsidRPr="00390B67">
              <w:rPr>
                <w:rStyle w:val="SubtleReference"/>
                <w:i/>
              </w:rPr>
              <w:t xml:space="preserve">: </w:t>
            </w:r>
          </w:p>
          <w:p w14:paraId="1832CF9C" w14:textId="77777777" w:rsidR="001576F2" w:rsidRPr="00390B67" w:rsidRDefault="001576F2" w:rsidP="00044373">
            <w:pPr>
              <w:spacing w:line="240" w:lineRule="auto"/>
              <w:ind w:firstLine="0"/>
              <w:jc w:val="left"/>
              <w:rPr>
                <w:rStyle w:val="SubtleReference"/>
                <w:i/>
              </w:rPr>
            </w:pPr>
            <w:r w:rsidRPr="00390B67">
              <w:rPr>
                <w:rStyle w:val="SubtleReference"/>
                <w:i/>
              </w:rPr>
              <w:t>CLRL (promoters’ planning agent);Crossrail, (promoters’ delivery agent); Network Rail;  UK Treasury; Transport for London (TfL);Canary Wharf (private funder);</w:t>
            </w:r>
          </w:p>
          <w:p w14:paraId="705358C1" w14:textId="77777777" w:rsidR="001576F2" w:rsidRPr="00390B67" w:rsidRDefault="001576F2" w:rsidP="00044373">
            <w:pPr>
              <w:spacing w:line="240" w:lineRule="auto"/>
              <w:ind w:firstLine="0"/>
              <w:jc w:val="left"/>
              <w:rPr>
                <w:rStyle w:val="SubtleReference"/>
              </w:rPr>
            </w:pPr>
            <w:r w:rsidRPr="00390B67">
              <w:rPr>
                <w:rStyle w:val="SubtleReference"/>
                <w:i/>
              </w:rPr>
              <w:t>Bechtel, Transcend (consultants)</w:t>
            </w:r>
          </w:p>
        </w:tc>
        <w:tc>
          <w:tcPr>
            <w:tcW w:w="1984" w:type="dxa"/>
          </w:tcPr>
          <w:p w14:paraId="4880D016" w14:textId="77777777" w:rsidR="001576F2" w:rsidRPr="00390B67" w:rsidRDefault="001576F2" w:rsidP="00044373">
            <w:pPr>
              <w:spacing w:line="240" w:lineRule="auto"/>
              <w:ind w:firstLine="0"/>
              <w:jc w:val="left"/>
              <w:rPr>
                <w:rStyle w:val="SubtleReference"/>
              </w:rPr>
            </w:pPr>
            <w:r w:rsidRPr="00390B67">
              <w:rPr>
                <w:rStyle w:val="SubtleReference"/>
              </w:rPr>
              <w:t>11</w:t>
            </w:r>
            <w:r w:rsidRPr="00390B67">
              <w:rPr>
                <w:rStyle w:val="SubtleReference"/>
                <w:i/>
              </w:rPr>
              <w:t xml:space="preserve">: </w:t>
            </w:r>
          </w:p>
          <w:p w14:paraId="10BBAC18" w14:textId="77777777" w:rsidR="001576F2" w:rsidRPr="00390B67" w:rsidRDefault="001576F2" w:rsidP="00044373">
            <w:pPr>
              <w:spacing w:line="240" w:lineRule="auto"/>
              <w:ind w:firstLine="0"/>
              <w:jc w:val="left"/>
              <w:rPr>
                <w:rStyle w:val="SubtleReference"/>
              </w:rPr>
            </w:pPr>
            <w:r w:rsidRPr="00390B67">
              <w:rPr>
                <w:rStyle w:val="SubtleReference"/>
                <w:i/>
              </w:rPr>
              <w:t>HS2 Ltd (promoter’s agent);  Manchester City Council (MCC); Greater London Authority (GLA);Transport for London (TfL); Borough of Camden; Transport for Greater Manchester (TfGM); Network Rail; UK Treasury; Manchester Airport; CH2MHill, AECOM (consultants)</w:t>
            </w:r>
          </w:p>
        </w:tc>
      </w:tr>
      <w:tr w:rsidR="001576F2" w:rsidRPr="00390B67" w14:paraId="66755E0A" w14:textId="77777777" w:rsidTr="00B33E51">
        <w:trPr>
          <w:trHeight w:val="1424"/>
        </w:trPr>
        <w:tc>
          <w:tcPr>
            <w:tcW w:w="1276" w:type="dxa"/>
          </w:tcPr>
          <w:p w14:paraId="619DCC53" w14:textId="77777777" w:rsidR="001576F2" w:rsidRDefault="001576F2" w:rsidP="00044373">
            <w:pPr>
              <w:spacing w:line="240" w:lineRule="auto"/>
              <w:ind w:firstLine="0"/>
              <w:jc w:val="left"/>
              <w:rPr>
                <w:rStyle w:val="SubtleReference"/>
              </w:rPr>
            </w:pPr>
            <w:r w:rsidRPr="00390B67">
              <w:rPr>
                <w:rStyle w:val="SubtleReference"/>
              </w:rPr>
              <w:t xml:space="preserve">Archival data </w:t>
            </w:r>
          </w:p>
          <w:p w14:paraId="7DB47666" w14:textId="77777777" w:rsidR="001576F2" w:rsidRPr="00390B67" w:rsidRDefault="001576F2" w:rsidP="00044373">
            <w:pPr>
              <w:spacing w:line="240" w:lineRule="auto"/>
              <w:ind w:firstLine="0"/>
              <w:jc w:val="left"/>
              <w:rPr>
                <w:rStyle w:val="SubtleReference"/>
              </w:rPr>
            </w:pPr>
          </w:p>
          <w:p w14:paraId="0F2F16A0" w14:textId="77777777" w:rsidR="001576F2" w:rsidRPr="00390B67" w:rsidRDefault="001576F2" w:rsidP="00044373">
            <w:pPr>
              <w:spacing w:line="240" w:lineRule="auto"/>
              <w:ind w:right="-57" w:firstLine="0"/>
              <w:jc w:val="left"/>
              <w:rPr>
                <w:rStyle w:val="SubtleReference"/>
              </w:rPr>
            </w:pPr>
            <w:r>
              <w:rPr>
                <w:rStyle w:val="SubtleReference"/>
              </w:rPr>
              <w:t>D</w:t>
            </w:r>
            <w:r w:rsidRPr="00390B67">
              <w:rPr>
                <w:rStyle w:val="SubtleReference"/>
              </w:rPr>
              <w:t xml:space="preserve">ocuments </w:t>
            </w:r>
            <w:r>
              <w:rPr>
                <w:rStyle w:val="SubtleReference"/>
              </w:rPr>
              <w:t xml:space="preserve">on the planning </w:t>
            </w:r>
            <w:r w:rsidRPr="00390B67">
              <w:rPr>
                <w:rStyle w:val="SubtleReference"/>
              </w:rPr>
              <w:t xml:space="preserve"> </w:t>
            </w:r>
            <w:r>
              <w:rPr>
                <w:rStyle w:val="SubtleReference"/>
              </w:rPr>
              <w:t>effort o</w:t>
            </w:r>
            <w:r w:rsidRPr="00390B67">
              <w:rPr>
                <w:rStyle w:val="SubtleReference"/>
              </w:rPr>
              <w:t>rganised by categories: (news articles</w:t>
            </w:r>
            <w:r>
              <w:rPr>
                <w:rStyle w:val="SubtleReference"/>
              </w:rPr>
              <w:t xml:space="preserve"> in the press not included</w:t>
            </w:r>
            <w:r w:rsidRPr="00390B67">
              <w:rPr>
                <w:rStyle w:val="SubtleReference"/>
              </w:rPr>
              <w:t xml:space="preserve">) </w:t>
            </w:r>
          </w:p>
          <w:p w14:paraId="1C83BD70" w14:textId="77777777" w:rsidR="001576F2" w:rsidRPr="00390B67" w:rsidRDefault="001576F2" w:rsidP="00044373">
            <w:pPr>
              <w:spacing w:line="240" w:lineRule="auto"/>
              <w:ind w:firstLine="0"/>
              <w:jc w:val="left"/>
              <w:rPr>
                <w:rStyle w:val="SubtleReference"/>
              </w:rPr>
            </w:pPr>
          </w:p>
        </w:tc>
        <w:tc>
          <w:tcPr>
            <w:tcW w:w="1843" w:type="dxa"/>
          </w:tcPr>
          <w:p w14:paraId="050725D7" w14:textId="77777777" w:rsidR="001576F2" w:rsidRPr="00390B67" w:rsidRDefault="001576F2" w:rsidP="00B33E51">
            <w:pPr>
              <w:spacing w:line="240" w:lineRule="auto"/>
              <w:ind w:right="-57" w:firstLine="0"/>
              <w:jc w:val="left"/>
              <w:rPr>
                <w:rStyle w:val="SubtleReference"/>
              </w:rPr>
            </w:pPr>
            <w:r w:rsidRPr="00390B67">
              <w:rPr>
                <w:rStyle w:val="SubtleReference"/>
              </w:rPr>
              <w:t xml:space="preserve">Total </w:t>
            </w:r>
            <w:r>
              <w:rPr>
                <w:rStyle w:val="SubtleReference"/>
              </w:rPr>
              <w:t>n</w:t>
            </w:r>
            <w:r w:rsidRPr="00390B67">
              <w:rPr>
                <w:rStyle w:val="SubtleReference"/>
              </w:rPr>
              <w:t xml:space="preserve">umber of </w:t>
            </w:r>
            <w:r>
              <w:rPr>
                <w:rStyle w:val="SubtleReference"/>
              </w:rPr>
              <w:t>d</w:t>
            </w:r>
            <w:r w:rsidRPr="00390B67">
              <w:rPr>
                <w:rStyle w:val="SubtleReference"/>
              </w:rPr>
              <w:t>ocuments: 134</w:t>
            </w:r>
          </w:p>
          <w:p w14:paraId="7E436CC3" w14:textId="77777777" w:rsidR="001576F2" w:rsidRPr="00390B67" w:rsidRDefault="001576F2" w:rsidP="00B33E51">
            <w:pPr>
              <w:spacing w:line="240" w:lineRule="auto"/>
              <w:ind w:right="-57" w:firstLine="0"/>
              <w:jc w:val="left"/>
              <w:rPr>
                <w:rStyle w:val="SubtleReference"/>
              </w:rPr>
            </w:pPr>
          </w:p>
          <w:p w14:paraId="7BB075DD" w14:textId="77777777" w:rsidR="001576F2" w:rsidRPr="00390B67" w:rsidRDefault="001576F2" w:rsidP="00B33E51">
            <w:pPr>
              <w:spacing w:line="240" w:lineRule="auto"/>
              <w:ind w:right="-57" w:firstLine="0"/>
              <w:jc w:val="left"/>
              <w:rPr>
                <w:rStyle w:val="SubtleReference"/>
                <w:i/>
              </w:rPr>
            </w:pPr>
            <w:r w:rsidRPr="00390B67">
              <w:rPr>
                <w:rStyle w:val="SubtleReference"/>
                <w:i/>
              </w:rPr>
              <w:t>Strategy and  planning documents: 84</w:t>
            </w:r>
          </w:p>
          <w:p w14:paraId="3BA6973F" w14:textId="77777777" w:rsidR="001576F2" w:rsidRPr="00390B67" w:rsidRDefault="001576F2" w:rsidP="00B33E51">
            <w:pPr>
              <w:spacing w:line="240" w:lineRule="auto"/>
              <w:ind w:right="-57" w:firstLine="0"/>
              <w:jc w:val="left"/>
              <w:rPr>
                <w:rStyle w:val="SubtleReference"/>
                <w:i/>
              </w:rPr>
            </w:pPr>
            <w:r w:rsidRPr="00390B67">
              <w:rPr>
                <w:rStyle w:val="SubtleReference"/>
                <w:i/>
              </w:rPr>
              <w:t>Financial reports: 6</w:t>
            </w:r>
          </w:p>
          <w:p w14:paraId="01051E63" w14:textId="77777777" w:rsidR="001576F2" w:rsidRPr="00390B67" w:rsidRDefault="001576F2" w:rsidP="00B33E51">
            <w:pPr>
              <w:spacing w:line="240" w:lineRule="auto"/>
              <w:ind w:right="-57" w:firstLine="0"/>
              <w:jc w:val="left"/>
              <w:rPr>
                <w:rStyle w:val="SubtleReference"/>
                <w:i/>
              </w:rPr>
            </w:pPr>
            <w:r w:rsidRPr="00390B67">
              <w:rPr>
                <w:rStyle w:val="SubtleReference"/>
                <w:i/>
              </w:rPr>
              <w:t>Formal communication: 5</w:t>
            </w:r>
          </w:p>
          <w:p w14:paraId="3C6B6EEB" w14:textId="77777777" w:rsidR="001576F2" w:rsidRPr="00390B67" w:rsidRDefault="001576F2" w:rsidP="00B33E51">
            <w:pPr>
              <w:spacing w:line="240" w:lineRule="auto"/>
              <w:ind w:right="-57" w:firstLine="0"/>
              <w:jc w:val="left"/>
              <w:rPr>
                <w:rStyle w:val="SubtleReference"/>
                <w:i/>
              </w:rPr>
            </w:pPr>
            <w:r w:rsidRPr="00390B67">
              <w:rPr>
                <w:rStyle w:val="SubtleReference"/>
                <w:i/>
              </w:rPr>
              <w:t>Newsletters and  PR documents: 17</w:t>
            </w:r>
          </w:p>
          <w:p w14:paraId="008AF4A2" w14:textId="77777777" w:rsidR="001576F2" w:rsidRPr="00390B67" w:rsidRDefault="001576F2" w:rsidP="00B33E51">
            <w:pPr>
              <w:spacing w:line="240" w:lineRule="auto"/>
              <w:ind w:right="-57" w:firstLine="0"/>
              <w:jc w:val="left"/>
              <w:rPr>
                <w:rStyle w:val="SubtleReference"/>
                <w:i/>
              </w:rPr>
            </w:pPr>
            <w:r w:rsidRPr="00390B67">
              <w:rPr>
                <w:rStyle w:val="SubtleReference"/>
                <w:i/>
              </w:rPr>
              <w:t>Design documents: 7</w:t>
            </w:r>
          </w:p>
          <w:p w14:paraId="6DD79FD3" w14:textId="77777777" w:rsidR="001576F2" w:rsidRPr="00390B67" w:rsidRDefault="001576F2" w:rsidP="00B33E51">
            <w:pPr>
              <w:spacing w:line="240" w:lineRule="auto"/>
              <w:ind w:right="-57" w:firstLine="0"/>
              <w:jc w:val="left"/>
              <w:rPr>
                <w:rStyle w:val="SubtleReference"/>
                <w:i/>
              </w:rPr>
            </w:pPr>
            <w:r w:rsidRPr="00390B67">
              <w:rPr>
                <w:rStyle w:val="SubtleReference"/>
                <w:i/>
              </w:rPr>
              <w:t>Meeting minutes: 15</w:t>
            </w:r>
          </w:p>
        </w:tc>
        <w:tc>
          <w:tcPr>
            <w:tcW w:w="1701" w:type="dxa"/>
          </w:tcPr>
          <w:p w14:paraId="041B4B9B" w14:textId="77777777" w:rsidR="001576F2" w:rsidRPr="00390B67" w:rsidRDefault="001576F2" w:rsidP="00B33E51">
            <w:pPr>
              <w:spacing w:line="240" w:lineRule="auto"/>
              <w:ind w:right="-57" w:firstLine="0"/>
              <w:jc w:val="left"/>
              <w:rPr>
                <w:rStyle w:val="SubtleReference"/>
              </w:rPr>
            </w:pPr>
            <w:r w:rsidRPr="00390B67">
              <w:rPr>
                <w:rStyle w:val="SubtleReference"/>
              </w:rPr>
              <w:t xml:space="preserve">Total </w:t>
            </w:r>
            <w:r>
              <w:rPr>
                <w:rStyle w:val="SubtleReference"/>
              </w:rPr>
              <w:t>n</w:t>
            </w:r>
            <w:r w:rsidRPr="00390B67">
              <w:rPr>
                <w:rStyle w:val="SubtleReference"/>
              </w:rPr>
              <w:t xml:space="preserve">umber of </w:t>
            </w:r>
            <w:r>
              <w:rPr>
                <w:rStyle w:val="SubtleReference"/>
              </w:rPr>
              <w:t>d</w:t>
            </w:r>
            <w:r w:rsidRPr="00390B67">
              <w:rPr>
                <w:rStyle w:val="SubtleReference"/>
              </w:rPr>
              <w:t>ocuments: 114</w:t>
            </w:r>
          </w:p>
          <w:p w14:paraId="2630322E" w14:textId="77777777" w:rsidR="001576F2" w:rsidRPr="00390B67" w:rsidRDefault="001576F2" w:rsidP="00B33E51">
            <w:pPr>
              <w:spacing w:line="240" w:lineRule="auto"/>
              <w:ind w:right="-57" w:firstLine="0"/>
              <w:jc w:val="left"/>
              <w:rPr>
                <w:rStyle w:val="SubtleReference"/>
              </w:rPr>
            </w:pPr>
          </w:p>
          <w:p w14:paraId="2201E362" w14:textId="77777777" w:rsidR="001576F2" w:rsidRPr="00390B67" w:rsidRDefault="001576F2" w:rsidP="00B33E51">
            <w:pPr>
              <w:spacing w:line="240" w:lineRule="auto"/>
              <w:ind w:right="-57" w:firstLine="0"/>
              <w:jc w:val="left"/>
              <w:rPr>
                <w:rStyle w:val="SubtleReference"/>
                <w:i/>
              </w:rPr>
            </w:pPr>
            <w:r w:rsidRPr="00390B67">
              <w:rPr>
                <w:rStyle w:val="SubtleReference"/>
                <w:i/>
              </w:rPr>
              <w:t>Strategy and planning documents: 74</w:t>
            </w:r>
          </w:p>
          <w:p w14:paraId="3D7CE3D2" w14:textId="77777777" w:rsidR="001576F2" w:rsidRPr="00390B67" w:rsidRDefault="001576F2" w:rsidP="00B33E51">
            <w:pPr>
              <w:spacing w:line="240" w:lineRule="auto"/>
              <w:ind w:right="-57" w:firstLine="0"/>
              <w:jc w:val="left"/>
              <w:rPr>
                <w:rStyle w:val="SubtleReference"/>
                <w:i/>
              </w:rPr>
            </w:pPr>
            <w:r w:rsidRPr="00390B67">
              <w:rPr>
                <w:rStyle w:val="SubtleReference"/>
                <w:i/>
              </w:rPr>
              <w:t>Financial reports: 6</w:t>
            </w:r>
          </w:p>
          <w:p w14:paraId="7B3CB21F" w14:textId="77777777" w:rsidR="001576F2" w:rsidRPr="00390B67" w:rsidRDefault="001576F2" w:rsidP="00B33E51">
            <w:pPr>
              <w:spacing w:line="240" w:lineRule="auto"/>
              <w:ind w:right="-57" w:firstLine="0"/>
              <w:jc w:val="left"/>
              <w:rPr>
                <w:rStyle w:val="SubtleReference"/>
                <w:i/>
              </w:rPr>
            </w:pPr>
            <w:r w:rsidRPr="00390B67">
              <w:rPr>
                <w:rStyle w:val="SubtleReference"/>
                <w:i/>
              </w:rPr>
              <w:t>Formal communication: 19</w:t>
            </w:r>
          </w:p>
          <w:p w14:paraId="628A505D" w14:textId="77777777" w:rsidR="001576F2" w:rsidRPr="00390B67" w:rsidRDefault="001576F2" w:rsidP="00B33E51">
            <w:pPr>
              <w:spacing w:line="240" w:lineRule="auto"/>
              <w:ind w:right="-57" w:firstLine="0"/>
              <w:jc w:val="left"/>
              <w:rPr>
                <w:rStyle w:val="SubtleReference"/>
                <w:i/>
              </w:rPr>
            </w:pPr>
            <w:r w:rsidRPr="00390B67">
              <w:rPr>
                <w:rStyle w:val="SubtleReference"/>
                <w:i/>
              </w:rPr>
              <w:t>Newsletters and PR documents: 8</w:t>
            </w:r>
          </w:p>
          <w:p w14:paraId="6F39D86C" w14:textId="77777777" w:rsidR="001576F2" w:rsidRPr="00390B67" w:rsidRDefault="001576F2" w:rsidP="00B33E51">
            <w:pPr>
              <w:spacing w:line="240" w:lineRule="auto"/>
              <w:ind w:right="-57" w:firstLine="0"/>
              <w:jc w:val="left"/>
              <w:rPr>
                <w:rStyle w:val="SubtleReference"/>
                <w:i/>
              </w:rPr>
            </w:pPr>
            <w:r w:rsidRPr="00390B67">
              <w:rPr>
                <w:rStyle w:val="SubtleReference"/>
                <w:i/>
              </w:rPr>
              <w:t>Design documents: 4</w:t>
            </w:r>
          </w:p>
          <w:p w14:paraId="1930A2DE" w14:textId="77777777" w:rsidR="001576F2" w:rsidRPr="00390B67" w:rsidRDefault="001576F2" w:rsidP="00B33E51">
            <w:pPr>
              <w:spacing w:line="240" w:lineRule="auto"/>
              <w:ind w:right="-57" w:firstLine="0"/>
              <w:jc w:val="left"/>
              <w:rPr>
                <w:rStyle w:val="SubtleReference"/>
                <w:i/>
              </w:rPr>
            </w:pPr>
            <w:r w:rsidRPr="00390B67">
              <w:rPr>
                <w:rStyle w:val="SubtleReference"/>
                <w:i/>
              </w:rPr>
              <w:t>Meeting minutes: 3</w:t>
            </w:r>
          </w:p>
        </w:tc>
        <w:tc>
          <w:tcPr>
            <w:tcW w:w="1843" w:type="dxa"/>
          </w:tcPr>
          <w:p w14:paraId="79E4ED3F" w14:textId="77777777" w:rsidR="001576F2" w:rsidRPr="00390B67" w:rsidRDefault="001576F2" w:rsidP="00B33E51">
            <w:pPr>
              <w:spacing w:line="240" w:lineRule="auto"/>
              <w:ind w:right="-57" w:firstLine="0"/>
              <w:jc w:val="left"/>
              <w:rPr>
                <w:rStyle w:val="SubtleReference"/>
              </w:rPr>
            </w:pPr>
            <w:r w:rsidRPr="00390B67">
              <w:rPr>
                <w:rStyle w:val="SubtleReference"/>
              </w:rPr>
              <w:t xml:space="preserve">Total </w:t>
            </w:r>
            <w:r>
              <w:rPr>
                <w:rStyle w:val="SubtleReference"/>
              </w:rPr>
              <w:t>n</w:t>
            </w:r>
            <w:r w:rsidRPr="00390B67">
              <w:rPr>
                <w:rStyle w:val="SubtleReference"/>
              </w:rPr>
              <w:t xml:space="preserve">umber of </w:t>
            </w:r>
            <w:r>
              <w:rPr>
                <w:rStyle w:val="SubtleReference"/>
              </w:rPr>
              <w:t>d</w:t>
            </w:r>
            <w:r w:rsidRPr="00390B67">
              <w:rPr>
                <w:rStyle w:val="SubtleReference"/>
              </w:rPr>
              <w:t>ocuments: 122</w:t>
            </w:r>
          </w:p>
          <w:p w14:paraId="5E6E787B" w14:textId="77777777" w:rsidR="001576F2" w:rsidRPr="00390B67" w:rsidRDefault="001576F2" w:rsidP="00B33E51">
            <w:pPr>
              <w:spacing w:line="240" w:lineRule="auto"/>
              <w:ind w:right="-57" w:firstLine="0"/>
              <w:jc w:val="left"/>
              <w:rPr>
                <w:rStyle w:val="SubtleReference"/>
              </w:rPr>
            </w:pPr>
          </w:p>
          <w:p w14:paraId="4F10E46B" w14:textId="77777777" w:rsidR="001576F2" w:rsidRPr="00390B67" w:rsidRDefault="001576F2" w:rsidP="00B33E51">
            <w:pPr>
              <w:spacing w:line="240" w:lineRule="auto"/>
              <w:ind w:right="-57" w:firstLine="0"/>
              <w:jc w:val="left"/>
              <w:rPr>
                <w:rStyle w:val="SubtleReference"/>
                <w:i/>
              </w:rPr>
            </w:pPr>
            <w:r w:rsidRPr="00390B67">
              <w:rPr>
                <w:rStyle w:val="SubtleReference"/>
                <w:i/>
              </w:rPr>
              <w:t>Strategy and planning documents: 74</w:t>
            </w:r>
          </w:p>
          <w:p w14:paraId="5617BFA0" w14:textId="77777777" w:rsidR="001576F2" w:rsidRPr="00390B67" w:rsidRDefault="001576F2" w:rsidP="00B33E51">
            <w:pPr>
              <w:spacing w:line="240" w:lineRule="auto"/>
              <w:ind w:right="-57" w:firstLine="0"/>
              <w:jc w:val="left"/>
              <w:rPr>
                <w:rStyle w:val="SubtleReference"/>
                <w:i/>
              </w:rPr>
            </w:pPr>
            <w:r w:rsidRPr="00390B67">
              <w:rPr>
                <w:rStyle w:val="SubtleReference"/>
                <w:i/>
              </w:rPr>
              <w:t>Financial reports: 2</w:t>
            </w:r>
          </w:p>
          <w:p w14:paraId="681F4666" w14:textId="77777777" w:rsidR="001576F2" w:rsidRPr="00390B67" w:rsidRDefault="001576F2" w:rsidP="00B33E51">
            <w:pPr>
              <w:spacing w:line="240" w:lineRule="auto"/>
              <w:ind w:right="-57" w:firstLine="0"/>
              <w:jc w:val="left"/>
              <w:rPr>
                <w:rStyle w:val="SubtleReference"/>
                <w:i/>
              </w:rPr>
            </w:pPr>
            <w:r w:rsidRPr="00390B67">
              <w:rPr>
                <w:rStyle w:val="SubtleReference"/>
                <w:i/>
              </w:rPr>
              <w:t>Formal communication: 6</w:t>
            </w:r>
          </w:p>
          <w:p w14:paraId="12DC98C4" w14:textId="77777777" w:rsidR="001576F2" w:rsidRPr="00390B67" w:rsidRDefault="001576F2" w:rsidP="00B33E51">
            <w:pPr>
              <w:spacing w:line="240" w:lineRule="auto"/>
              <w:ind w:right="-57" w:firstLine="0"/>
              <w:jc w:val="left"/>
              <w:rPr>
                <w:rStyle w:val="SubtleReference"/>
                <w:i/>
              </w:rPr>
            </w:pPr>
            <w:r w:rsidRPr="00390B67">
              <w:rPr>
                <w:rStyle w:val="SubtleReference"/>
                <w:i/>
              </w:rPr>
              <w:t>Newsletters and PR documents: 23</w:t>
            </w:r>
          </w:p>
          <w:p w14:paraId="33DD4549" w14:textId="77777777" w:rsidR="001576F2" w:rsidRPr="00390B67" w:rsidRDefault="001576F2" w:rsidP="00B33E51">
            <w:pPr>
              <w:spacing w:line="240" w:lineRule="auto"/>
              <w:ind w:right="-57" w:firstLine="0"/>
              <w:jc w:val="left"/>
              <w:rPr>
                <w:rStyle w:val="SubtleReference"/>
                <w:i/>
              </w:rPr>
            </w:pPr>
            <w:r w:rsidRPr="00390B67">
              <w:rPr>
                <w:rStyle w:val="SubtleReference"/>
                <w:i/>
              </w:rPr>
              <w:t>Design documents: 9</w:t>
            </w:r>
          </w:p>
          <w:p w14:paraId="4AB7D032" w14:textId="77777777" w:rsidR="001576F2" w:rsidRPr="00390B67" w:rsidRDefault="001576F2" w:rsidP="00B33E51">
            <w:pPr>
              <w:spacing w:line="240" w:lineRule="auto"/>
              <w:ind w:right="-57" w:firstLine="0"/>
              <w:jc w:val="left"/>
              <w:rPr>
                <w:rStyle w:val="SubtleReference"/>
                <w:i/>
              </w:rPr>
            </w:pPr>
            <w:r w:rsidRPr="00390B67">
              <w:rPr>
                <w:rStyle w:val="SubtleReference"/>
                <w:i/>
              </w:rPr>
              <w:t>Meeting minutes: 8</w:t>
            </w:r>
          </w:p>
        </w:tc>
        <w:tc>
          <w:tcPr>
            <w:tcW w:w="1984" w:type="dxa"/>
          </w:tcPr>
          <w:p w14:paraId="08BADD5E" w14:textId="77777777" w:rsidR="001576F2" w:rsidRPr="00390B67" w:rsidRDefault="001576F2" w:rsidP="00B33E51">
            <w:pPr>
              <w:spacing w:line="240" w:lineRule="auto"/>
              <w:ind w:right="-57" w:firstLine="0"/>
              <w:jc w:val="left"/>
              <w:rPr>
                <w:rStyle w:val="SubtleReference"/>
              </w:rPr>
            </w:pPr>
            <w:r w:rsidRPr="00390B67">
              <w:rPr>
                <w:rStyle w:val="SubtleReference"/>
              </w:rPr>
              <w:t xml:space="preserve">Total </w:t>
            </w:r>
            <w:r>
              <w:rPr>
                <w:rStyle w:val="SubtleReference"/>
              </w:rPr>
              <w:t>n</w:t>
            </w:r>
            <w:r w:rsidRPr="00390B67">
              <w:rPr>
                <w:rStyle w:val="SubtleReference"/>
              </w:rPr>
              <w:t xml:space="preserve">umber of </w:t>
            </w:r>
            <w:r>
              <w:rPr>
                <w:rStyle w:val="SubtleReference"/>
              </w:rPr>
              <w:t>d</w:t>
            </w:r>
            <w:r w:rsidRPr="00390B67">
              <w:rPr>
                <w:rStyle w:val="SubtleReference"/>
              </w:rPr>
              <w:t>ocuments: 101</w:t>
            </w:r>
          </w:p>
          <w:p w14:paraId="03CB1267" w14:textId="77777777" w:rsidR="001576F2" w:rsidRPr="00390B67" w:rsidRDefault="001576F2" w:rsidP="00B33E51">
            <w:pPr>
              <w:spacing w:line="240" w:lineRule="auto"/>
              <w:ind w:right="-57" w:firstLine="0"/>
              <w:jc w:val="left"/>
              <w:rPr>
                <w:rStyle w:val="SubtleReference"/>
              </w:rPr>
            </w:pPr>
          </w:p>
          <w:p w14:paraId="208DB630" w14:textId="77777777" w:rsidR="001576F2" w:rsidRPr="00390B67" w:rsidRDefault="001576F2" w:rsidP="00B33E51">
            <w:pPr>
              <w:spacing w:line="240" w:lineRule="auto"/>
              <w:ind w:right="-57" w:firstLine="0"/>
              <w:jc w:val="left"/>
              <w:rPr>
                <w:rStyle w:val="SubtleReference"/>
                <w:i/>
              </w:rPr>
            </w:pPr>
            <w:r w:rsidRPr="00390B67">
              <w:rPr>
                <w:rStyle w:val="SubtleReference"/>
                <w:i/>
              </w:rPr>
              <w:t>Strategy and planning documents:46</w:t>
            </w:r>
          </w:p>
          <w:p w14:paraId="77930ED3" w14:textId="77777777" w:rsidR="001576F2" w:rsidRPr="00390B67" w:rsidRDefault="001576F2" w:rsidP="00B33E51">
            <w:pPr>
              <w:spacing w:line="240" w:lineRule="auto"/>
              <w:ind w:right="-57" w:firstLine="0"/>
              <w:jc w:val="left"/>
              <w:rPr>
                <w:rStyle w:val="SubtleReference"/>
                <w:i/>
              </w:rPr>
            </w:pPr>
            <w:r w:rsidRPr="00390B67">
              <w:rPr>
                <w:rStyle w:val="SubtleReference"/>
                <w:i/>
              </w:rPr>
              <w:t>Financial reports: 6</w:t>
            </w:r>
          </w:p>
          <w:p w14:paraId="5FACA81E" w14:textId="77777777" w:rsidR="001576F2" w:rsidRPr="00390B67" w:rsidRDefault="001576F2" w:rsidP="00B33E51">
            <w:pPr>
              <w:spacing w:line="240" w:lineRule="auto"/>
              <w:ind w:right="-57" w:firstLine="0"/>
              <w:jc w:val="left"/>
              <w:rPr>
                <w:rStyle w:val="SubtleReference"/>
                <w:i/>
              </w:rPr>
            </w:pPr>
            <w:r w:rsidRPr="00390B67">
              <w:rPr>
                <w:rStyle w:val="SubtleReference"/>
                <w:i/>
              </w:rPr>
              <w:t>Formal communication: 20</w:t>
            </w:r>
          </w:p>
          <w:p w14:paraId="7DBA5D4A" w14:textId="77777777" w:rsidR="001576F2" w:rsidRPr="00390B67" w:rsidRDefault="001576F2" w:rsidP="00B33E51">
            <w:pPr>
              <w:spacing w:line="240" w:lineRule="auto"/>
              <w:ind w:right="-57" w:firstLine="0"/>
              <w:jc w:val="left"/>
              <w:rPr>
                <w:rStyle w:val="SubtleReference"/>
                <w:i/>
              </w:rPr>
            </w:pPr>
            <w:r w:rsidRPr="00390B67">
              <w:rPr>
                <w:rStyle w:val="SubtleReference"/>
                <w:i/>
              </w:rPr>
              <w:t>Newsletters and PR documents:12</w:t>
            </w:r>
          </w:p>
          <w:p w14:paraId="7199CA47" w14:textId="77777777" w:rsidR="001576F2" w:rsidRPr="00390B67" w:rsidRDefault="001576F2" w:rsidP="00B33E51">
            <w:pPr>
              <w:spacing w:line="240" w:lineRule="auto"/>
              <w:ind w:right="-57" w:firstLine="0"/>
              <w:jc w:val="left"/>
              <w:rPr>
                <w:rStyle w:val="SubtleReference"/>
                <w:i/>
              </w:rPr>
            </w:pPr>
            <w:r w:rsidRPr="00390B67">
              <w:rPr>
                <w:rStyle w:val="SubtleReference"/>
                <w:i/>
              </w:rPr>
              <w:t>Design documents: 12</w:t>
            </w:r>
          </w:p>
          <w:p w14:paraId="33F2034D" w14:textId="77777777" w:rsidR="001576F2" w:rsidRPr="00390B67" w:rsidRDefault="001576F2" w:rsidP="00B33E51">
            <w:pPr>
              <w:spacing w:line="240" w:lineRule="auto"/>
              <w:ind w:right="-57" w:firstLine="0"/>
              <w:jc w:val="left"/>
              <w:rPr>
                <w:rStyle w:val="SubtleReference"/>
                <w:i/>
              </w:rPr>
            </w:pPr>
            <w:r w:rsidRPr="00390B67">
              <w:rPr>
                <w:rStyle w:val="SubtleReference"/>
                <w:i/>
              </w:rPr>
              <w:t>Meeting minutes: 5</w:t>
            </w:r>
          </w:p>
        </w:tc>
      </w:tr>
    </w:tbl>
    <w:p w14:paraId="3FA580E5" w14:textId="77777777" w:rsidR="001576F2" w:rsidRPr="00390B67" w:rsidRDefault="001576F2" w:rsidP="001576F2">
      <w:pPr>
        <w:spacing w:line="240" w:lineRule="auto"/>
        <w:ind w:firstLine="0"/>
        <w:rPr>
          <w:rStyle w:val="SubtleReference"/>
          <w:i/>
        </w:rPr>
      </w:pPr>
      <w:r w:rsidRPr="00390B67">
        <w:rPr>
          <w:rStyle w:val="SubtleReference"/>
          <w:i/>
        </w:rPr>
        <w:t>(§)BOA - British Olympic Association</w:t>
      </w:r>
      <w:r>
        <w:rPr>
          <w:rStyle w:val="SubtleReference"/>
          <w:i/>
        </w:rPr>
        <w:t>;</w:t>
      </w:r>
      <w:r w:rsidRPr="00390B67" w:rsidDel="00840BD1">
        <w:rPr>
          <w:rStyle w:val="SubtleReference"/>
          <w:i/>
        </w:rPr>
        <w:t xml:space="preserve"> </w:t>
      </w:r>
      <w:r w:rsidRPr="00390B67">
        <w:rPr>
          <w:rStyle w:val="SubtleReference"/>
          <w:i/>
        </w:rPr>
        <w:t xml:space="preserve">LOCOG, London Organising Committee of the Olympic and Paralympic Games and International Olympic Committee (IOC)’s watchdog; </w:t>
      </w:r>
    </w:p>
    <w:p w14:paraId="222416CB" w14:textId="77777777" w:rsidR="001576F2" w:rsidRDefault="001576F2" w:rsidP="00B33E51">
      <w:pPr>
        <w:pStyle w:val="References"/>
        <w:spacing w:after="0"/>
        <w:ind w:left="0" w:firstLine="0"/>
        <w:rPr>
          <w:rStyle w:val="Strong"/>
          <w:b/>
        </w:rPr>
      </w:pPr>
    </w:p>
    <w:p w14:paraId="3DA91085" w14:textId="037C6046" w:rsidR="00B33E51" w:rsidRPr="00390B67" w:rsidRDefault="00B33E51" w:rsidP="00B33E51">
      <w:pPr>
        <w:spacing w:line="240" w:lineRule="auto"/>
        <w:ind w:firstLine="0"/>
        <w:jc w:val="left"/>
        <w:rPr>
          <w:rStyle w:val="SubtleReference"/>
          <w:b/>
          <w:sz w:val="24"/>
          <w:szCs w:val="24"/>
        </w:rPr>
      </w:pPr>
      <w:r w:rsidRPr="00390B67">
        <w:rPr>
          <w:b/>
        </w:rPr>
        <w:t xml:space="preserve">Figure 1 – Stylised representation of different infrastructure </w:t>
      </w:r>
      <w:r w:rsidR="007978B0">
        <w:rPr>
          <w:b/>
        </w:rPr>
        <w:t>architectures</w:t>
      </w:r>
      <w:r w:rsidRPr="00390B67" w:rsidDel="00F254E5">
        <w:rPr>
          <w:b/>
        </w:rPr>
        <w:t xml:space="preserve"> </w:t>
      </w:r>
    </w:p>
    <w:p w14:paraId="19EB8115" w14:textId="6580D262" w:rsidR="00B33E51" w:rsidRPr="00390B67" w:rsidRDefault="007978B0" w:rsidP="00B33E51">
      <w:pPr>
        <w:ind w:firstLine="0"/>
        <w:rPr>
          <w:rStyle w:val="SubtleReference"/>
          <w:sz w:val="24"/>
          <w:szCs w:val="24"/>
          <w:lang w:eastAsia="en-GB"/>
        </w:rPr>
      </w:pPr>
      <w:r>
        <w:object w:dxaOrig="11384" w:dyaOrig="3572" w14:anchorId="1E084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121.5pt" o:ole="">
            <v:imagedata r:id="rId9" o:title=""/>
          </v:shape>
          <o:OLEObject Type="Embed" ProgID="Visio.Drawing.11" ShapeID="_x0000_i1025" DrawAspect="Content" ObjectID="_1555429392" r:id="rId10"/>
        </w:object>
      </w:r>
    </w:p>
    <w:p w14:paraId="0B10C954" w14:textId="77777777" w:rsidR="00B33E51" w:rsidRPr="00390B67" w:rsidRDefault="00B33E51" w:rsidP="00B33E51">
      <w:pPr>
        <w:pStyle w:val="References"/>
        <w:spacing w:after="0"/>
        <w:ind w:left="0" w:firstLine="0"/>
        <w:rPr>
          <w:rStyle w:val="Strong"/>
          <w:b/>
        </w:rPr>
        <w:sectPr w:rsidR="00B33E51" w:rsidRPr="00390B67" w:rsidSect="00833EA9">
          <w:footerReference w:type="default" r:id="rId11"/>
          <w:pgSz w:w="11906" w:h="16838"/>
          <w:pgMar w:top="1440" w:right="1700" w:bottom="1440" w:left="1800" w:header="708" w:footer="708" w:gutter="0"/>
          <w:cols w:space="708"/>
          <w:docGrid w:linePitch="360"/>
        </w:sectPr>
      </w:pPr>
    </w:p>
    <w:bookmarkStart w:id="9" w:name="_MON_1555428483"/>
    <w:bookmarkEnd w:id="9"/>
    <w:p w14:paraId="60124A47" w14:textId="1275A218" w:rsidR="00583DA1" w:rsidRPr="00390B67" w:rsidRDefault="007978B0" w:rsidP="0042517B">
      <w:pPr>
        <w:spacing w:line="240" w:lineRule="auto"/>
        <w:ind w:firstLine="0"/>
        <w:jc w:val="left"/>
        <w:rPr>
          <w:rStyle w:val="SubtleReference"/>
          <w:sz w:val="24"/>
        </w:rPr>
      </w:pPr>
      <w:r>
        <w:rPr>
          <w:rStyle w:val="SubtleReference"/>
          <w:b/>
          <w:sz w:val="24"/>
        </w:rPr>
        <w:object w:dxaOrig="14184" w:dyaOrig="9016" w14:anchorId="6AD41DE4">
          <v:shape id="_x0000_i1026" type="#_x0000_t75" style="width:709.5pt;height:450.75pt" o:ole="">
            <v:imagedata r:id="rId12" o:title=""/>
          </v:shape>
          <o:OLEObject Type="Embed" ProgID="Word.Document.12" ShapeID="_x0000_i1026" DrawAspect="Content" ObjectID="_1555429393" r:id="rId13">
            <o:FieldCodes>\s</o:FieldCodes>
          </o:OLEObject>
        </w:object>
      </w:r>
      <w:r w:rsidR="00583DA1" w:rsidRPr="00390B67">
        <w:rPr>
          <w:b/>
        </w:rPr>
        <w:t xml:space="preserve">Table 3 – </w:t>
      </w:r>
      <w:r w:rsidR="00630BFC">
        <w:rPr>
          <w:b/>
        </w:rPr>
        <w:t xml:space="preserve">Excerpt </w:t>
      </w:r>
      <w:r w:rsidR="00583DA1" w:rsidRPr="00390B67">
        <w:rPr>
          <w:b/>
        </w:rPr>
        <w:t xml:space="preserve">of the Evidence on the Resolution of </w:t>
      </w:r>
      <w:r w:rsidR="00D15F8B">
        <w:rPr>
          <w:b/>
        </w:rPr>
        <w:t>Planning</w:t>
      </w:r>
      <w:r w:rsidR="00583DA1" w:rsidRPr="00390B67">
        <w:rPr>
          <w:b/>
        </w:rPr>
        <w:t xml:space="preserve"> Disputes: Outcomes and Implications</w:t>
      </w:r>
      <w:r w:rsidR="00D15F8B">
        <w:rPr>
          <w:b/>
        </w:rPr>
        <w:t xml:space="preserve"> to Performance Targets</w:t>
      </w:r>
    </w:p>
    <w:tbl>
      <w:tblPr>
        <w:tblStyle w:val="TableGrid"/>
        <w:tblW w:w="13092" w:type="dxa"/>
        <w:tblInd w:w="57" w:type="dxa"/>
        <w:tblLayout w:type="fixed"/>
        <w:tblLook w:val="04A0" w:firstRow="1" w:lastRow="0" w:firstColumn="1" w:lastColumn="0" w:noHBand="0" w:noVBand="1"/>
      </w:tblPr>
      <w:tblGrid>
        <w:gridCol w:w="335"/>
        <w:gridCol w:w="425"/>
        <w:gridCol w:w="1559"/>
        <w:gridCol w:w="1701"/>
        <w:gridCol w:w="2835"/>
        <w:gridCol w:w="1559"/>
        <w:gridCol w:w="1984"/>
        <w:gridCol w:w="2694"/>
      </w:tblGrid>
      <w:tr w:rsidR="00583DA1" w:rsidRPr="00390B67" w14:paraId="3BC194D8" w14:textId="77777777" w:rsidTr="004C2716">
        <w:trPr>
          <w:trHeight w:val="132"/>
        </w:trPr>
        <w:tc>
          <w:tcPr>
            <w:tcW w:w="335" w:type="dxa"/>
            <w:vMerge w:val="restart"/>
            <w:tcBorders>
              <w:top w:val="single" w:sz="4" w:space="0" w:color="auto"/>
              <w:left w:val="single" w:sz="4" w:space="0" w:color="auto"/>
            </w:tcBorders>
          </w:tcPr>
          <w:p w14:paraId="38B87FC7" w14:textId="77777777" w:rsidR="00583DA1" w:rsidRPr="00390B67" w:rsidRDefault="00583DA1" w:rsidP="003B0342">
            <w:pPr>
              <w:spacing w:line="240" w:lineRule="auto"/>
              <w:ind w:left="-108" w:right="-108" w:firstLine="0"/>
              <w:rPr>
                <w:rFonts w:ascii="Arial" w:hAnsi="Arial" w:cs="Arial"/>
                <w:b/>
                <w:sz w:val="16"/>
                <w:szCs w:val="16"/>
              </w:rPr>
            </w:pPr>
            <w:r w:rsidRPr="00390B67">
              <w:rPr>
                <w:rFonts w:ascii="Arial" w:hAnsi="Arial" w:cs="Arial"/>
                <w:b/>
                <w:sz w:val="16"/>
                <w:szCs w:val="16"/>
              </w:rPr>
              <w:t xml:space="preserve">Case </w:t>
            </w:r>
          </w:p>
        </w:tc>
        <w:tc>
          <w:tcPr>
            <w:tcW w:w="1984" w:type="dxa"/>
            <w:gridSpan w:val="2"/>
            <w:vMerge w:val="restart"/>
            <w:tcBorders>
              <w:top w:val="single" w:sz="4" w:space="0" w:color="auto"/>
            </w:tcBorders>
          </w:tcPr>
          <w:p w14:paraId="190AC40C" w14:textId="77777777" w:rsidR="00583DA1" w:rsidRPr="00390B67" w:rsidRDefault="00583DA1" w:rsidP="003B0342">
            <w:pPr>
              <w:spacing w:line="240" w:lineRule="auto"/>
              <w:ind w:right="-108" w:firstLine="0"/>
              <w:jc w:val="center"/>
              <w:rPr>
                <w:rFonts w:ascii="Arial" w:hAnsi="Arial" w:cs="Arial"/>
                <w:b/>
                <w:sz w:val="16"/>
                <w:szCs w:val="16"/>
              </w:rPr>
            </w:pPr>
            <w:r w:rsidRPr="00390B67">
              <w:rPr>
                <w:rFonts w:ascii="Arial" w:hAnsi="Arial" w:cs="Arial"/>
                <w:b/>
                <w:sz w:val="16"/>
                <w:szCs w:val="16"/>
              </w:rPr>
              <w:t>Embedded dispute</w:t>
            </w:r>
          </w:p>
        </w:tc>
        <w:tc>
          <w:tcPr>
            <w:tcW w:w="1701" w:type="dxa"/>
            <w:vMerge w:val="restart"/>
            <w:tcBorders>
              <w:top w:val="single" w:sz="4" w:space="0" w:color="auto"/>
            </w:tcBorders>
          </w:tcPr>
          <w:p w14:paraId="4D0FB02A" w14:textId="41B36A4C" w:rsidR="00583DA1" w:rsidRPr="00390B67" w:rsidRDefault="00D15F8B" w:rsidP="0059388E">
            <w:pPr>
              <w:spacing w:line="240" w:lineRule="auto"/>
              <w:ind w:left="-108" w:right="-108" w:firstLine="0"/>
              <w:jc w:val="center"/>
              <w:rPr>
                <w:rFonts w:ascii="Arial" w:hAnsi="Arial" w:cs="Arial"/>
                <w:b/>
                <w:sz w:val="16"/>
                <w:szCs w:val="16"/>
              </w:rPr>
            </w:pPr>
            <w:r>
              <w:rPr>
                <w:rFonts w:ascii="Arial" w:hAnsi="Arial" w:cs="Arial"/>
                <w:b/>
                <w:sz w:val="16"/>
                <w:szCs w:val="16"/>
              </w:rPr>
              <w:t>Dispute resolution mechanism</w:t>
            </w:r>
          </w:p>
        </w:tc>
        <w:tc>
          <w:tcPr>
            <w:tcW w:w="2835" w:type="dxa"/>
            <w:vMerge w:val="restart"/>
            <w:tcBorders>
              <w:top w:val="single" w:sz="4" w:space="0" w:color="auto"/>
            </w:tcBorders>
          </w:tcPr>
          <w:p w14:paraId="6DE610C0" w14:textId="77777777" w:rsidR="00583DA1" w:rsidRPr="00390B67" w:rsidRDefault="00583DA1" w:rsidP="00881AF8">
            <w:pPr>
              <w:spacing w:line="240" w:lineRule="auto"/>
              <w:ind w:left="-108" w:right="-108" w:firstLine="49"/>
              <w:jc w:val="center"/>
              <w:rPr>
                <w:rFonts w:ascii="Arial" w:hAnsi="Arial" w:cs="Arial"/>
                <w:b/>
                <w:sz w:val="16"/>
                <w:szCs w:val="16"/>
              </w:rPr>
            </w:pPr>
            <w:r w:rsidRPr="00390B67">
              <w:rPr>
                <w:rFonts w:ascii="Arial" w:hAnsi="Arial" w:cs="Arial"/>
                <w:b/>
                <w:sz w:val="16"/>
                <w:szCs w:val="16"/>
              </w:rPr>
              <w:t>Outcome</w:t>
            </w:r>
          </w:p>
        </w:tc>
        <w:tc>
          <w:tcPr>
            <w:tcW w:w="6237" w:type="dxa"/>
            <w:gridSpan w:val="3"/>
            <w:tcBorders>
              <w:top w:val="single" w:sz="4" w:space="0" w:color="auto"/>
              <w:right w:val="single" w:sz="4" w:space="0" w:color="auto"/>
            </w:tcBorders>
          </w:tcPr>
          <w:p w14:paraId="2E1D7942" w14:textId="77777777" w:rsidR="00583DA1" w:rsidRPr="00390B67" w:rsidRDefault="00583DA1" w:rsidP="003B0342">
            <w:pPr>
              <w:spacing w:line="240" w:lineRule="auto"/>
              <w:ind w:left="-108" w:right="-108"/>
              <w:jc w:val="center"/>
              <w:rPr>
                <w:rFonts w:ascii="Arial" w:hAnsi="Arial" w:cs="Arial"/>
                <w:b/>
                <w:sz w:val="16"/>
                <w:szCs w:val="16"/>
              </w:rPr>
            </w:pPr>
            <w:r w:rsidRPr="00390B67">
              <w:rPr>
                <w:rFonts w:ascii="Arial" w:hAnsi="Arial" w:cs="Arial"/>
                <w:b/>
                <w:sz w:val="16"/>
                <w:szCs w:val="16"/>
              </w:rPr>
              <w:t>Implications to the Local Performance Targets</w:t>
            </w:r>
          </w:p>
        </w:tc>
      </w:tr>
      <w:tr w:rsidR="00583DA1" w:rsidRPr="00390B67" w14:paraId="5A3E82BC" w14:textId="77777777" w:rsidTr="004C2716">
        <w:trPr>
          <w:trHeight w:val="104"/>
        </w:trPr>
        <w:tc>
          <w:tcPr>
            <w:tcW w:w="335" w:type="dxa"/>
            <w:vMerge/>
            <w:tcBorders>
              <w:left w:val="single" w:sz="4" w:space="0" w:color="auto"/>
              <w:bottom w:val="single" w:sz="4" w:space="0" w:color="auto"/>
            </w:tcBorders>
          </w:tcPr>
          <w:p w14:paraId="0C780155" w14:textId="77777777" w:rsidR="00583DA1" w:rsidRPr="00390B67" w:rsidRDefault="00583DA1" w:rsidP="00881AF8">
            <w:pPr>
              <w:spacing w:line="240" w:lineRule="auto"/>
              <w:ind w:left="-108" w:right="-108"/>
              <w:jc w:val="center"/>
              <w:rPr>
                <w:rFonts w:ascii="Arial" w:hAnsi="Arial" w:cs="Arial"/>
                <w:b/>
                <w:sz w:val="16"/>
                <w:szCs w:val="16"/>
              </w:rPr>
            </w:pPr>
          </w:p>
        </w:tc>
        <w:tc>
          <w:tcPr>
            <w:tcW w:w="1984" w:type="dxa"/>
            <w:gridSpan w:val="2"/>
            <w:vMerge/>
            <w:tcBorders>
              <w:bottom w:val="single" w:sz="4" w:space="0" w:color="auto"/>
            </w:tcBorders>
          </w:tcPr>
          <w:p w14:paraId="72D7CBB4" w14:textId="77777777" w:rsidR="00583DA1" w:rsidRPr="00390B67" w:rsidRDefault="00583DA1" w:rsidP="00881AF8">
            <w:pPr>
              <w:spacing w:line="240" w:lineRule="auto"/>
              <w:ind w:left="-108" w:right="-108"/>
              <w:jc w:val="center"/>
              <w:rPr>
                <w:rFonts w:ascii="Arial" w:hAnsi="Arial" w:cs="Arial"/>
                <w:b/>
                <w:sz w:val="16"/>
                <w:szCs w:val="16"/>
              </w:rPr>
            </w:pPr>
          </w:p>
        </w:tc>
        <w:tc>
          <w:tcPr>
            <w:tcW w:w="1701" w:type="dxa"/>
            <w:vMerge/>
            <w:tcBorders>
              <w:bottom w:val="single" w:sz="4" w:space="0" w:color="auto"/>
            </w:tcBorders>
          </w:tcPr>
          <w:p w14:paraId="5BAEB093" w14:textId="77777777" w:rsidR="00583DA1" w:rsidRPr="00390B67" w:rsidRDefault="00583DA1" w:rsidP="0059388E">
            <w:pPr>
              <w:spacing w:line="240" w:lineRule="auto"/>
              <w:ind w:left="-108" w:right="-108" w:firstLine="0"/>
              <w:jc w:val="center"/>
              <w:rPr>
                <w:rFonts w:ascii="Arial" w:hAnsi="Arial" w:cs="Arial"/>
                <w:b/>
                <w:sz w:val="16"/>
                <w:szCs w:val="20"/>
              </w:rPr>
            </w:pPr>
          </w:p>
        </w:tc>
        <w:tc>
          <w:tcPr>
            <w:tcW w:w="2835" w:type="dxa"/>
            <w:vMerge/>
            <w:tcBorders>
              <w:bottom w:val="single" w:sz="4" w:space="0" w:color="auto"/>
            </w:tcBorders>
          </w:tcPr>
          <w:p w14:paraId="57B8DEBA" w14:textId="77777777" w:rsidR="00583DA1" w:rsidRPr="00390B67" w:rsidRDefault="00583DA1" w:rsidP="00881AF8">
            <w:pPr>
              <w:spacing w:line="240" w:lineRule="auto"/>
              <w:ind w:left="-108" w:right="-108" w:firstLine="49"/>
              <w:jc w:val="center"/>
              <w:rPr>
                <w:rFonts w:ascii="Arial" w:hAnsi="Arial" w:cs="Arial"/>
                <w:b/>
                <w:sz w:val="16"/>
                <w:szCs w:val="20"/>
              </w:rPr>
            </w:pPr>
          </w:p>
        </w:tc>
        <w:tc>
          <w:tcPr>
            <w:tcW w:w="1559" w:type="dxa"/>
            <w:tcBorders>
              <w:left w:val="single" w:sz="4" w:space="0" w:color="auto"/>
              <w:bottom w:val="single" w:sz="4" w:space="0" w:color="auto"/>
            </w:tcBorders>
          </w:tcPr>
          <w:p w14:paraId="6A4571EA" w14:textId="77777777" w:rsidR="00583DA1" w:rsidRPr="00390B67" w:rsidRDefault="00583DA1" w:rsidP="00583DA1">
            <w:pPr>
              <w:spacing w:line="240" w:lineRule="auto"/>
              <w:ind w:right="-108" w:firstLine="34"/>
              <w:jc w:val="center"/>
              <w:rPr>
                <w:rFonts w:ascii="Arial" w:hAnsi="Arial" w:cs="Arial"/>
                <w:b/>
                <w:sz w:val="16"/>
                <w:szCs w:val="16"/>
              </w:rPr>
            </w:pPr>
            <w:r w:rsidRPr="00390B67">
              <w:rPr>
                <w:rFonts w:ascii="Arial" w:hAnsi="Arial" w:cs="Arial"/>
                <w:b/>
                <w:sz w:val="16"/>
                <w:szCs w:val="16"/>
              </w:rPr>
              <w:t>Extra scope</w:t>
            </w:r>
          </w:p>
        </w:tc>
        <w:tc>
          <w:tcPr>
            <w:tcW w:w="1984" w:type="dxa"/>
            <w:tcBorders>
              <w:bottom w:val="single" w:sz="4" w:space="0" w:color="auto"/>
              <w:right w:val="double" w:sz="4" w:space="0" w:color="auto"/>
            </w:tcBorders>
          </w:tcPr>
          <w:p w14:paraId="053010E0" w14:textId="46C00619" w:rsidR="00583DA1" w:rsidRPr="00390B67" w:rsidRDefault="009F1BFC" w:rsidP="00881AF8">
            <w:pPr>
              <w:spacing w:line="240" w:lineRule="auto"/>
              <w:ind w:left="-108" w:right="-108" w:firstLine="44"/>
              <w:jc w:val="center"/>
              <w:rPr>
                <w:rFonts w:ascii="Arial" w:hAnsi="Arial" w:cs="Arial"/>
                <w:b/>
                <w:sz w:val="16"/>
                <w:szCs w:val="16"/>
              </w:rPr>
            </w:pPr>
            <w:r>
              <w:rPr>
                <w:rFonts w:ascii="Arial" w:hAnsi="Arial" w:cs="Arial"/>
                <w:b/>
                <w:sz w:val="16"/>
                <w:szCs w:val="16"/>
              </w:rPr>
              <w:t>Completion date</w:t>
            </w:r>
          </w:p>
        </w:tc>
        <w:tc>
          <w:tcPr>
            <w:tcW w:w="2694" w:type="dxa"/>
            <w:tcBorders>
              <w:left w:val="double" w:sz="4" w:space="0" w:color="auto"/>
              <w:bottom w:val="single" w:sz="4" w:space="0" w:color="auto"/>
              <w:right w:val="single" w:sz="4" w:space="0" w:color="auto"/>
            </w:tcBorders>
          </w:tcPr>
          <w:p w14:paraId="20042650" w14:textId="4FB6CF03" w:rsidR="00583DA1" w:rsidRPr="00390B67" w:rsidRDefault="009F1BFC" w:rsidP="00881AF8">
            <w:pPr>
              <w:spacing w:line="240" w:lineRule="auto"/>
              <w:ind w:left="-108" w:right="-108" w:firstLine="44"/>
              <w:jc w:val="center"/>
              <w:rPr>
                <w:rFonts w:ascii="Arial" w:hAnsi="Arial" w:cs="Arial"/>
                <w:b/>
                <w:sz w:val="16"/>
                <w:szCs w:val="16"/>
              </w:rPr>
            </w:pPr>
            <w:r>
              <w:rPr>
                <w:rFonts w:ascii="Arial" w:hAnsi="Arial" w:cs="Arial"/>
                <w:b/>
                <w:sz w:val="16"/>
                <w:szCs w:val="16"/>
              </w:rPr>
              <w:t>Cost</w:t>
            </w:r>
            <w:r w:rsidRPr="00390B67">
              <w:rPr>
                <w:rFonts w:ascii="Arial" w:hAnsi="Arial" w:cs="Arial"/>
                <w:b/>
                <w:sz w:val="16"/>
                <w:szCs w:val="16"/>
              </w:rPr>
              <w:t xml:space="preserve"> </w:t>
            </w:r>
            <w:r w:rsidR="00583DA1" w:rsidRPr="00390B67">
              <w:rPr>
                <w:rFonts w:ascii="Arial" w:hAnsi="Arial" w:cs="Arial"/>
                <w:sz w:val="16"/>
                <w:szCs w:val="16"/>
              </w:rPr>
              <w:t>(final prices unless stated)</w:t>
            </w:r>
          </w:p>
        </w:tc>
      </w:tr>
      <w:tr w:rsidR="00D5177C" w:rsidRPr="00390B67" w14:paraId="0B657E06" w14:textId="77777777" w:rsidTr="004C2716">
        <w:trPr>
          <w:trHeight w:val="714"/>
        </w:trPr>
        <w:tc>
          <w:tcPr>
            <w:tcW w:w="335" w:type="dxa"/>
            <w:tcBorders>
              <w:top w:val="single" w:sz="4" w:space="0" w:color="auto"/>
            </w:tcBorders>
            <w:textDirection w:val="btLr"/>
          </w:tcPr>
          <w:p w14:paraId="5C8DA23D" w14:textId="53472652" w:rsidR="00D5177C" w:rsidRPr="00390B67" w:rsidRDefault="00D5177C" w:rsidP="002A5417">
            <w:pPr>
              <w:spacing w:line="240" w:lineRule="auto"/>
              <w:ind w:left="113" w:right="-108" w:firstLine="0"/>
              <w:jc w:val="left"/>
              <w:rPr>
                <w:rFonts w:ascii="Arial" w:hAnsi="Arial" w:cs="Arial"/>
                <w:sz w:val="16"/>
                <w:szCs w:val="16"/>
              </w:rPr>
            </w:pPr>
            <w:r w:rsidRPr="00390B67">
              <w:rPr>
                <w:rFonts w:ascii="Arial" w:hAnsi="Arial" w:cs="Arial"/>
                <w:sz w:val="16"/>
                <w:szCs w:val="16"/>
              </w:rPr>
              <w:t xml:space="preserve">High-speed </w:t>
            </w:r>
            <w:r w:rsidR="002A5417">
              <w:rPr>
                <w:rFonts w:ascii="Arial" w:hAnsi="Arial" w:cs="Arial"/>
                <w:sz w:val="16"/>
                <w:szCs w:val="16"/>
              </w:rPr>
              <w:t>2</w:t>
            </w:r>
          </w:p>
        </w:tc>
        <w:tc>
          <w:tcPr>
            <w:tcW w:w="425" w:type="dxa"/>
            <w:tcBorders>
              <w:top w:val="single" w:sz="4" w:space="0" w:color="auto"/>
            </w:tcBorders>
            <w:textDirection w:val="btLr"/>
          </w:tcPr>
          <w:p w14:paraId="4095D766" w14:textId="14222129" w:rsidR="00D5177C" w:rsidRPr="00390B67" w:rsidRDefault="00D5177C" w:rsidP="00285AA8">
            <w:pPr>
              <w:spacing w:line="240" w:lineRule="auto"/>
              <w:ind w:left="113" w:right="-108" w:firstLine="0"/>
              <w:jc w:val="left"/>
              <w:rPr>
                <w:rFonts w:ascii="Arial" w:hAnsi="Arial" w:cs="Arial"/>
                <w:sz w:val="16"/>
                <w:szCs w:val="16"/>
              </w:rPr>
            </w:pPr>
            <w:r w:rsidRPr="00390B67">
              <w:rPr>
                <w:rFonts w:ascii="Arial" w:hAnsi="Arial" w:cs="Arial"/>
                <w:sz w:val="16"/>
                <w:szCs w:val="16"/>
              </w:rPr>
              <w:t>Euston St</w:t>
            </w:r>
          </w:p>
        </w:tc>
        <w:tc>
          <w:tcPr>
            <w:tcW w:w="1559" w:type="dxa"/>
            <w:tcBorders>
              <w:top w:val="single" w:sz="4" w:space="0" w:color="auto"/>
            </w:tcBorders>
          </w:tcPr>
          <w:p w14:paraId="3E48A412" w14:textId="392A1C26" w:rsidR="00D5177C" w:rsidRPr="00390B67" w:rsidRDefault="00D5177C" w:rsidP="00BE714E">
            <w:pPr>
              <w:spacing w:line="240" w:lineRule="auto"/>
              <w:ind w:left="-108" w:right="-108" w:firstLine="49"/>
              <w:jc w:val="left"/>
              <w:rPr>
                <w:rFonts w:ascii="Arial" w:hAnsi="Arial" w:cs="Arial"/>
                <w:sz w:val="16"/>
                <w:szCs w:val="16"/>
              </w:rPr>
            </w:pPr>
            <w:r w:rsidRPr="00390B67">
              <w:rPr>
                <w:rFonts w:ascii="Arial" w:hAnsi="Arial" w:cs="Arial"/>
                <w:sz w:val="16"/>
                <w:szCs w:val="16"/>
              </w:rPr>
              <w:t>#</w:t>
            </w:r>
            <w:r>
              <w:rPr>
                <w:rFonts w:ascii="Arial" w:hAnsi="Arial" w:cs="Arial"/>
                <w:sz w:val="16"/>
                <w:szCs w:val="16"/>
              </w:rPr>
              <w:t>1</w:t>
            </w:r>
            <w:r w:rsidRPr="00390B67">
              <w:rPr>
                <w:rFonts w:ascii="Arial" w:hAnsi="Arial" w:cs="Arial"/>
                <w:sz w:val="16"/>
                <w:szCs w:val="16"/>
              </w:rPr>
              <w:t xml:space="preserve">, Low </w:t>
            </w:r>
            <w:r w:rsidR="004C2716">
              <w:rPr>
                <w:rFonts w:ascii="Arial" w:hAnsi="Arial" w:cs="Arial"/>
                <w:sz w:val="16"/>
                <w:szCs w:val="16"/>
              </w:rPr>
              <w:t xml:space="preserve">local </w:t>
            </w:r>
            <w:r w:rsidRPr="00390B67">
              <w:rPr>
                <w:rFonts w:ascii="Arial" w:hAnsi="Arial" w:cs="Arial"/>
                <w:sz w:val="16"/>
                <w:szCs w:val="16"/>
              </w:rPr>
              <w:t>goal congruence</w:t>
            </w:r>
          </w:p>
          <w:p w14:paraId="03CB1D16" w14:textId="77777777" w:rsidR="00D5177C" w:rsidRPr="00390B67" w:rsidRDefault="00D5177C" w:rsidP="00BE714E">
            <w:pPr>
              <w:spacing w:line="240" w:lineRule="auto"/>
              <w:ind w:left="-108" w:right="-108" w:firstLine="49"/>
              <w:jc w:val="left"/>
              <w:rPr>
                <w:rFonts w:ascii="Arial" w:hAnsi="Arial" w:cs="Arial"/>
                <w:sz w:val="16"/>
                <w:szCs w:val="16"/>
              </w:rPr>
            </w:pPr>
            <w:r w:rsidRPr="00390B67">
              <w:rPr>
                <w:rFonts w:ascii="Arial" w:hAnsi="Arial" w:cs="Arial"/>
                <w:sz w:val="16"/>
                <w:szCs w:val="16"/>
              </w:rPr>
              <w:t xml:space="preserve"> </w:t>
            </w:r>
          </w:p>
          <w:p w14:paraId="4F754AB5" w14:textId="075E3658" w:rsidR="00D5177C" w:rsidRPr="00390B67" w:rsidRDefault="00D5177C" w:rsidP="003B0342">
            <w:pPr>
              <w:spacing w:line="240" w:lineRule="auto"/>
              <w:ind w:left="-108" w:right="-108" w:firstLine="49"/>
              <w:jc w:val="left"/>
              <w:rPr>
                <w:rFonts w:ascii="Arial" w:hAnsi="Arial" w:cs="Arial"/>
                <w:sz w:val="16"/>
                <w:szCs w:val="16"/>
              </w:rPr>
            </w:pPr>
            <w:r w:rsidRPr="00390B67">
              <w:rPr>
                <w:rFonts w:ascii="Arial" w:hAnsi="Arial" w:cs="Arial"/>
                <w:i/>
                <w:sz w:val="16"/>
                <w:szCs w:val="16"/>
              </w:rPr>
              <w:t>Utilitarian v</w:t>
            </w:r>
            <w:r>
              <w:rPr>
                <w:rFonts w:ascii="Arial" w:hAnsi="Arial" w:cs="Arial"/>
                <w:i/>
                <w:sz w:val="16"/>
                <w:szCs w:val="16"/>
              </w:rPr>
              <w:t>s.</w:t>
            </w:r>
            <w:r w:rsidR="004C2716">
              <w:rPr>
                <w:rFonts w:ascii="Arial" w:hAnsi="Arial" w:cs="Arial"/>
                <w:i/>
                <w:sz w:val="16"/>
                <w:szCs w:val="16"/>
              </w:rPr>
              <w:t xml:space="preserve"> </w:t>
            </w:r>
            <w:r w:rsidRPr="00390B67">
              <w:rPr>
                <w:rFonts w:ascii="Arial" w:hAnsi="Arial" w:cs="Arial"/>
                <w:i/>
                <w:sz w:val="16"/>
                <w:szCs w:val="16"/>
              </w:rPr>
              <w:t>‘world-class’  station</w:t>
            </w:r>
          </w:p>
        </w:tc>
        <w:tc>
          <w:tcPr>
            <w:tcW w:w="1701" w:type="dxa"/>
            <w:tcBorders>
              <w:top w:val="single" w:sz="4" w:space="0" w:color="auto"/>
            </w:tcBorders>
          </w:tcPr>
          <w:p w14:paraId="607D62D8" w14:textId="56191A19" w:rsidR="00D5177C" w:rsidRPr="00390B67" w:rsidRDefault="00D5177C" w:rsidP="00BE714E">
            <w:pPr>
              <w:spacing w:line="240" w:lineRule="auto"/>
              <w:ind w:left="-108" w:right="-108" w:firstLine="0"/>
              <w:jc w:val="left"/>
              <w:rPr>
                <w:rFonts w:ascii="Arial" w:hAnsi="Arial" w:cs="Arial"/>
                <w:sz w:val="16"/>
                <w:szCs w:val="16"/>
              </w:rPr>
            </w:pPr>
            <w:r>
              <w:rPr>
                <w:rFonts w:ascii="Arial" w:hAnsi="Arial" w:cs="Arial"/>
                <w:sz w:val="16"/>
                <w:szCs w:val="16"/>
              </w:rPr>
              <w:t>Umpire</w:t>
            </w:r>
          </w:p>
          <w:p w14:paraId="4545DC93" w14:textId="77777777" w:rsidR="00D5177C" w:rsidRPr="00390B67" w:rsidRDefault="00D5177C" w:rsidP="00BE714E">
            <w:pPr>
              <w:spacing w:line="240" w:lineRule="auto"/>
              <w:ind w:right="-108" w:firstLine="0"/>
              <w:jc w:val="left"/>
              <w:rPr>
                <w:rFonts w:ascii="Arial" w:hAnsi="Arial" w:cs="Arial"/>
                <w:sz w:val="16"/>
                <w:szCs w:val="16"/>
              </w:rPr>
            </w:pPr>
          </w:p>
          <w:p w14:paraId="242BC0A8" w14:textId="77777777" w:rsidR="00D5177C" w:rsidRPr="00390B67" w:rsidRDefault="00D5177C" w:rsidP="00BE714E">
            <w:pPr>
              <w:spacing w:line="240" w:lineRule="auto"/>
              <w:ind w:left="-108" w:right="-108" w:firstLine="0"/>
              <w:jc w:val="left"/>
              <w:rPr>
                <w:rFonts w:ascii="Arial" w:hAnsi="Arial" w:cs="Arial"/>
                <w:i/>
                <w:sz w:val="16"/>
                <w:szCs w:val="16"/>
              </w:rPr>
            </w:pPr>
            <w:r w:rsidRPr="00390B67">
              <w:rPr>
                <w:rFonts w:ascii="Arial" w:hAnsi="Arial" w:cs="Arial"/>
                <w:i/>
                <w:sz w:val="16"/>
                <w:szCs w:val="16"/>
              </w:rPr>
              <w:t>UK Parliament (Land use regulator)</w:t>
            </w:r>
          </w:p>
          <w:p w14:paraId="61BFD5BF" w14:textId="77777777" w:rsidR="00D5177C" w:rsidRPr="00390B67" w:rsidRDefault="00D5177C" w:rsidP="0059388E">
            <w:pPr>
              <w:spacing w:line="240" w:lineRule="auto"/>
              <w:ind w:left="-108" w:right="-108" w:firstLine="0"/>
              <w:jc w:val="left"/>
              <w:rPr>
                <w:rFonts w:ascii="Arial" w:hAnsi="Arial" w:cs="Arial"/>
                <w:sz w:val="16"/>
                <w:szCs w:val="16"/>
              </w:rPr>
            </w:pPr>
          </w:p>
        </w:tc>
        <w:tc>
          <w:tcPr>
            <w:tcW w:w="2835" w:type="dxa"/>
            <w:tcBorders>
              <w:top w:val="single" w:sz="4" w:space="0" w:color="auto"/>
            </w:tcBorders>
          </w:tcPr>
          <w:p w14:paraId="0BCBFAED" w14:textId="010AA4DF" w:rsidR="00D5177C" w:rsidRPr="00390B67" w:rsidRDefault="004C2716" w:rsidP="00585BCA">
            <w:pPr>
              <w:spacing w:line="240" w:lineRule="auto"/>
              <w:ind w:left="-108" w:right="-108" w:firstLine="0"/>
              <w:jc w:val="left"/>
              <w:rPr>
                <w:rFonts w:ascii="Arial" w:hAnsi="Arial" w:cs="Arial"/>
                <w:sz w:val="16"/>
                <w:szCs w:val="16"/>
              </w:rPr>
            </w:pPr>
            <w:r>
              <w:rPr>
                <w:rFonts w:ascii="Arial" w:hAnsi="Arial" w:cs="Arial"/>
                <w:sz w:val="16"/>
                <w:szCs w:val="16"/>
              </w:rPr>
              <w:t>Mutual compromise facilitated by umpire (after 4 major design cycles)</w:t>
            </w:r>
          </w:p>
          <w:p w14:paraId="1777F1FB" w14:textId="2B660BBF" w:rsidR="00D5177C" w:rsidRPr="00390B67" w:rsidRDefault="00D5177C" w:rsidP="0059388E">
            <w:pPr>
              <w:spacing w:line="240" w:lineRule="auto"/>
              <w:ind w:left="-108" w:right="-108" w:firstLine="0"/>
              <w:jc w:val="left"/>
              <w:rPr>
                <w:rFonts w:ascii="Arial" w:hAnsi="Arial" w:cs="Arial"/>
                <w:sz w:val="16"/>
                <w:szCs w:val="16"/>
              </w:rPr>
            </w:pPr>
            <w:r w:rsidRPr="00390B67">
              <w:rPr>
                <w:rFonts w:ascii="Arial" w:hAnsi="Arial" w:cs="Arial"/>
                <w:i/>
                <w:sz w:val="16"/>
                <w:szCs w:val="16"/>
              </w:rPr>
              <w:t>The principle. ..that all the works …are on the HS2 credit card has been accepted [TfL official]</w:t>
            </w:r>
          </w:p>
        </w:tc>
        <w:tc>
          <w:tcPr>
            <w:tcW w:w="1559" w:type="dxa"/>
            <w:tcBorders>
              <w:top w:val="single" w:sz="4" w:space="0" w:color="auto"/>
            </w:tcBorders>
          </w:tcPr>
          <w:p w14:paraId="04DD7A54" w14:textId="77777777" w:rsidR="00D5177C" w:rsidRPr="00390B67" w:rsidRDefault="00D5177C" w:rsidP="00BE714E">
            <w:pPr>
              <w:tabs>
                <w:tab w:val="left" w:pos="682"/>
              </w:tabs>
              <w:spacing w:line="240" w:lineRule="auto"/>
              <w:ind w:left="-107" w:right="-108" w:firstLine="44"/>
              <w:jc w:val="left"/>
              <w:rPr>
                <w:rFonts w:ascii="Arial" w:hAnsi="Arial" w:cs="Arial"/>
                <w:sz w:val="16"/>
                <w:szCs w:val="16"/>
              </w:rPr>
            </w:pPr>
            <w:r w:rsidRPr="00390B67">
              <w:rPr>
                <w:rFonts w:ascii="Arial" w:hAnsi="Arial" w:cs="Arial"/>
                <w:sz w:val="16"/>
                <w:szCs w:val="16"/>
              </w:rPr>
              <w:t>Yes</w:t>
            </w:r>
          </w:p>
          <w:p w14:paraId="3FAA971F" w14:textId="77777777" w:rsidR="00D5177C" w:rsidRPr="00390B67" w:rsidRDefault="00D5177C" w:rsidP="00BE714E">
            <w:pPr>
              <w:tabs>
                <w:tab w:val="left" w:pos="682"/>
              </w:tabs>
              <w:spacing w:line="240" w:lineRule="auto"/>
              <w:ind w:firstLine="44"/>
              <w:jc w:val="left"/>
              <w:rPr>
                <w:rFonts w:ascii="Arial" w:hAnsi="Arial" w:cs="Arial"/>
                <w:sz w:val="16"/>
                <w:szCs w:val="16"/>
              </w:rPr>
            </w:pPr>
          </w:p>
          <w:p w14:paraId="6F8AEBBE" w14:textId="5AF16086" w:rsidR="00D5177C" w:rsidRPr="00390B67" w:rsidRDefault="004C2716" w:rsidP="004C2716">
            <w:pPr>
              <w:tabs>
                <w:tab w:val="left" w:pos="682"/>
              </w:tabs>
              <w:spacing w:line="240" w:lineRule="auto"/>
              <w:ind w:left="-107" w:right="-108" w:firstLine="44"/>
              <w:jc w:val="left"/>
              <w:rPr>
                <w:rFonts w:ascii="Arial" w:hAnsi="Arial" w:cs="Arial"/>
                <w:sz w:val="16"/>
                <w:szCs w:val="16"/>
              </w:rPr>
            </w:pPr>
            <w:r>
              <w:rPr>
                <w:rFonts w:ascii="Arial" w:hAnsi="Arial" w:cs="Arial"/>
                <w:i/>
                <w:sz w:val="16"/>
                <w:szCs w:val="16"/>
              </w:rPr>
              <w:t xml:space="preserve">Commitment to fully redevelop Euston station </w:t>
            </w:r>
          </w:p>
        </w:tc>
        <w:tc>
          <w:tcPr>
            <w:tcW w:w="1984" w:type="dxa"/>
            <w:tcBorders>
              <w:top w:val="single" w:sz="4" w:space="0" w:color="auto"/>
            </w:tcBorders>
          </w:tcPr>
          <w:p w14:paraId="2094AA6A" w14:textId="77777777"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 xml:space="preserve">Relaxed </w:t>
            </w:r>
          </w:p>
          <w:p w14:paraId="15CB1CDF" w14:textId="77777777" w:rsidR="004C2716" w:rsidRPr="00390B67" w:rsidRDefault="004C2716" w:rsidP="00BE714E">
            <w:pPr>
              <w:spacing w:line="240" w:lineRule="auto"/>
              <w:ind w:left="-108" w:right="-108" w:firstLine="44"/>
              <w:jc w:val="left"/>
              <w:rPr>
                <w:rFonts w:ascii="Arial" w:hAnsi="Arial" w:cs="Arial"/>
                <w:sz w:val="16"/>
                <w:szCs w:val="16"/>
              </w:rPr>
            </w:pPr>
          </w:p>
          <w:p w14:paraId="3F82D5C1" w14:textId="2005D60B" w:rsidR="00D5177C" w:rsidRPr="00390B67" w:rsidRDefault="004C2716" w:rsidP="004C2716">
            <w:pPr>
              <w:spacing w:line="240" w:lineRule="auto"/>
              <w:ind w:left="-108" w:right="-108" w:firstLine="44"/>
              <w:jc w:val="left"/>
              <w:rPr>
                <w:rFonts w:ascii="Arial" w:hAnsi="Arial" w:cs="Arial"/>
                <w:sz w:val="16"/>
                <w:szCs w:val="16"/>
              </w:rPr>
            </w:pPr>
            <w:r>
              <w:rPr>
                <w:rFonts w:ascii="Arial" w:hAnsi="Arial" w:cs="Arial"/>
                <w:i/>
                <w:sz w:val="16"/>
                <w:szCs w:val="16"/>
              </w:rPr>
              <w:t>Dispute</w:t>
            </w:r>
            <w:r w:rsidR="00D5177C">
              <w:rPr>
                <w:rFonts w:ascii="Arial" w:hAnsi="Arial" w:cs="Arial"/>
                <w:i/>
                <w:sz w:val="16"/>
                <w:szCs w:val="16"/>
              </w:rPr>
              <w:t xml:space="preserve"> </w:t>
            </w:r>
            <w:r>
              <w:rPr>
                <w:rFonts w:ascii="Arial" w:hAnsi="Arial" w:cs="Arial"/>
                <w:i/>
                <w:sz w:val="16"/>
                <w:szCs w:val="16"/>
              </w:rPr>
              <w:t xml:space="preserve">was resolved in 2017 </w:t>
            </w:r>
            <w:r w:rsidR="00D5177C">
              <w:rPr>
                <w:rFonts w:ascii="Arial" w:hAnsi="Arial" w:cs="Arial"/>
                <w:i/>
                <w:sz w:val="16"/>
                <w:szCs w:val="16"/>
              </w:rPr>
              <w:t>;  completion of works delayed from 2026 to 2033</w:t>
            </w:r>
          </w:p>
        </w:tc>
        <w:tc>
          <w:tcPr>
            <w:tcW w:w="2694" w:type="dxa"/>
            <w:tcBorders>
              <w:top w:val="single" w:sz="4" w:space="0" w:color="auto"/>
            </w:tcBorders>
          </w:tcPr>
          <w:p w14:paraId="3B89EA3D" w14:textId="77777777" w:rsidR="00D5177C" w:rsidRPr="00390B67" w:rsidRDefault="00D5177C" w:rsidP="00BE714E">
            <w:pPr>
              <w:spacing w:line="240" w:lineRule="auto"/>
              <w:ind w:left="-108" w:right="-108" w:firstLine="44"/>
              <w:jc w:val="left"/>
              <w:rPr>
                <w:rFonts w:ascii="Arial" w:hAnsi="Arial" w:cs="Arial"/>
                <w:i/>
                <w:sz w:val="16"/>
                <w:szCs w:val="16"/>
              </w:rPr>
            </w:pPr>
            <w:r w:rsidRPr="00390B67">
              <w:rPr>
                <w:rFonts w:ascii="Arial" w:hAnsi="Arial" w:cs="Arial"/>
                <w:sz w:val="16"/>
                <w:szCs w:val="16"/>
              </w:rPr>
              <w:t>Relaxed</w:t>
            </w:r>
          </w:p>
          <w:p w14:paraId="34EBF104" w14:textId="77777777" w:rsidR="00D5177C" w:rsidRPr="00390B67" w:rsidRDefault="00D5177C" w:rsidP="00BE714E">
            <w:pPr>
              <w:spacing w:line="240" w:lineRule="auto"/>
              <w:ind w:left="-108" w:right="-108" w:firstLine="44"/>
              <w:jc w:val="left"/>
              <w:rPr>
                <w:rFonts w:ascii="Arial" w:hAnsi="Arial" w:cs="Arial"/>
                <w:i/>
                <w:sz w:val="16"/>
                <w:szCs w:val="16"/>
              </w:rPr>
            </w:pPr>
            <w:r w:rsidRPr="00390B67">
              <w:rPr>
                <w:rFonts w:ascii="Arial" w:hAnsi="Arial" w:cs="Arial"/>
                <w:i/>
                <w:sz w:val="16"/>
                <w:szCs w:val="16"/>
              </w:rPr>
              <w:t>2010, ~£2</w:t>
            </w:r>
            <w:r>
              <w:rPr>
                <w:rFonts w:ascii="Arial" w:hAnsi="Arial" w:cs="Arial"/>
                <w:i/>
                <w:sz w:val="16"/>
                <w:szCs w:val="16"/>
              </w:rPr>
              <w:t>.0</w:t>
            </w:r>
            <w:r w:rsidRPr="00390B67">
              <w:rPr>
                <w:rFonts w:ascii="Arial" w:hAnsi="Arial" w:cs="Arial"/>
                <w:i/>
                <w:sz w:val="16"/>
                <w:szCs w:val="16"/>
              </w:rPr>
              <w:t>bn (09 prices)</w:t>
            </w:r>
          </w:p>
          <w:p w14:paraId="5A89EB89" w14:textId="77777777" w:rsidR="00D5177C" w:rsidRDefault="00D5177C" w:rsidP="00BE714E">
            <w:pPr>
              <w:spacing w:line="240" w:lineRule="auto"/>
              <w:ind w:left="-108" w:right="-108" w:firstLine="44"/>
              <w:jc w:val="left"/>
              <w:rPr>
                <w:rFonts w:ascii="Arial" w:hAnsi="Arial" w:cs="Arial"/>
                <w:i/>
                <w:sz w:val="16"/>
                <w:szCs w:val="16"/>
              </w:rPr>
            </w:pPr>
            <w:r w:rsidRPr="00390B67">
              <w:rPr>
                <w:rFonts w:ascii="Arial" w:hAnsi="Arial" w:cs="Arial"/>
                <w:i/>
                <w:sz w:val="16"/>
                <w:szCs w:val="16"/>
              </w:rPr>
              <w:t>2011, ~£1.1bn (11 prices)</w:t>
            </w:r>
          </w:p>
          <w:p w14:paraId="781DD2BD" w14:textId="77777777" w:rsidR="00D5177C" w:rsidRPr="00390B67" w:rsidRDefault="00D5177C" w:rsidP="00BE714E">
            <w:pPr>
              <w:spacing w:line="240" w:lineRule="auto"/>
              <w:ind w:left="-108" w:right="-108" w:firstLine="44"/>
              <w:jc w:val="left"/>
              <w:rPr>
                <w:rFonts w:ascii="Arial" w:hAnsi="Arial" w:cs="Arial"/>
                <w:i/>
                <w:sz w:val="16"/>
                <w:szCs w:val="16"/>
              </w:rPr>
            </w:pPr>
            <w:r>
              <w:rPr>
                <w:rFonts w:ascii="Arial" w:hAnsi="Arial" w:cs="Arial"/>
                <w:i/>
                <w:sz w:val="16"/>
                <w:szCs w:val="16"/>
              </w:rPr>
              <w:t>2014, ~£2.2 bn (11 prices)</w:t>
            </w:r>
          </w:p>
          <w:p w14:paraId="194F1F03" w14:textId="1AF11680" w:rsidR="00D5177C" w:rsidRPr="00390B67" w:rsidRDefault="00D5177C" w:rsidP="004C2716">
            <w:pPr>
              <w:spacing w:line="240" w:lineRule="auto"/>
              <w:ind w:left="-108" w:right="-108" w:firstLine="44"/>
              <w:jc w:val="left"/>
              <w:rPr>
                <w:rFonts w:ascii="Arial" w:hAnsi="Arial" w:cs="Arial"/>
                <w:sz w:val="16"/>
                <w:szCs w:val="16"/>
              </w:rPr>
            </w:pPr>
            <w:r w:rsidRPr="00390B67">
              <w:rPr>
                <w:rFonts w:ascii="Arial" w:hAnsi="Arial" w:cs="Arial"/>
                <w:i/>
                <w:sz w:val="16"/>
                <w:szCs w:val="16"/>
              </w:rPr>
              <w:t>2015, ~£4.5bn (TfL forecast</w:t>
            </w:r>
            <w:r w:rsidR="004C2716">
              <w:rPr>
                <w:rFonts w:ascii="Arial" w:hAnsi="Arial" w:cs="Arial"/>
                <w:i/>
                <w:sz w:val="16"/>
                <w:szCs w:val="16"/>
              </w:rPr>
              <w:t>)</w:t>
            </w:r>
          </w:p>
        </w:tc>
      </w:tr>
      <w:tr w:rsidR="00D5177C" w:rsidRPr="00390B67" w14:paraId="1D1409F4" w14:textId="77777777" w:rsidTr="004C2716">
        <w:trPr>
          <w:trHeight w:val="714"/>
        </w:trPr>
        <w:tc>
          <w:tcPr>
            <w:tcW w:w="335" w:type="dxa"/>
            <w:tcBorders>
              <w:top w:val="single" w:sz="4" w:space="0" w:color="auto"/>
            </w:tcBorders>
            <w:textDirection w:val="btLr"/>
          </w:tcPr>
          <w:p w14:paraId="4DD5824F" w14:textId="320E84AF" w:rsidR="00D5177C" w:rsidRPr="00390B67" w:rsidRDefault="00D5177C" w:rsidP="00D5177C">
            <w:pPr>
              <w:spacing w:line="240" w:lineRule="auto"/>
              <w:ind w:left="113" w:right="-108" w:firstLine="0"/>
              <w:jc w:val="left"/>
              <w:rPr>
                <w:rFonts w:ascii="Arial" w:hAnsi="Arial" w:cs="Arial"/>
                <w:sz w:val="16"/>
                <w:szCs w:val="16"/>
              </w:rPr>
            </w:pPr>
            <w:r w:rsidRPr="00390B67">
              <w:rPr>
                <w:rFonts w:ascii="Arial" w:hAnsi="Arial" w:cs="Arial"/>
                <w:sz w:val="16"/>
                <w:szCs w:val="16"/>
              </w:rPr>
              <w:t>Crossrail</w:t>
            </w:r>
          </w:p>
        </w:tc>
        <w:tc>
          <w:tcPr>
            <w:tcW w:w="425" w:type="dxa"/>
            <w:tcBorders>
              <w:top w:val="single" w:sz="4" w:space="0" w:color="auto"/>
            </w:tcBorders>
            <w:textDirection w:val="btLr"/>
          </w:tcPr>
          <w:p w14:paraId="12F4DCAE" w14:textId="720506BC" w:rsidR="00D5177C" w:rsidRPr="00390B67" w:rsidRDefault="00D5177C" w:rsidP="00285AA8">
            <w:pPr>
              <w:spacing w:line="240" w:lineRule="auto"/>
              <w:ind w:left="113" w:right="-108" w:firstLine="0"/>
              <w:jc w:val="left"/>
              <w:rPr>
                <w:rFonts w:ascii="Arial" w:hAnsi="Arial" w:cs="Arial"/>
                <w:sz w:val="16"/>
                <w:szCs w:val="16"/>
              </w:rPr>
            </w:pPr>
            <w:r w:rsidRPr="00390B67">
              <w:rPr>
                <w:rFonts w:ascii="Arial" w:hAnsi="Arial" w:cs="Arial"/>
                <w:sz w:val="16"/>
                <w:szCs w:val="16"/>
              </w:rPr>
              <w:t>Woolwich St.</w:t>
            </w:r>
          </w:p>
        </w:tc>
        <w:tc>
          <w:tcPr>
            <w:tcW w:w="1559" w:type="dxa"/>
            <w:tcBorders>
              <w:top w:val="single" w:sz="4" w:space="0" w:color="auto"/>
            </w:tcBorders>
          </w:tcPr>
          <w:p w14:paraId="45E06058" w14:textId="6C19106C" w:rsidR="00D5177C" w:rsidRPr="00390B67" w:rsidRDefault="00D5177C" w:rsidP="00BE714E">
            <w:pPr>
              <w:spacing w:line="240" w:lineRule="auto"/>
              <w:ind w:left="-108" w:right="-108" w:firstLine="49"/>
              <w:jc w:val="left"/>
              <w:rPr>
                <w:rFonts w:ascii="Arial" w:hAnsi="Arial" w:cs="Arial"/>
                <w:sz w:val="16"/>
                <w:szCs w:val="16"/>
              </w:rPr>
            </w:pPr>
            <w:r w:rsidRPr="00390B67">
              <w:rPr>
                <w:rFonts w:ascii="Arial" w:hAnsi="Arial" w:cs="Arial"/>
                <w:sz w:val="16"/>
                <w:szCs w:val="16"/>
              </w:rPr>
              <w:t>#</w:t>
            </w:r>
            <w:r>
              <w:rPr>
                <w:rFonts w:ascii="Arial" w:hAnsi="Arial" w:cs="Arial"/>
                <w:sz w:val="16"/>
                <w:szCs w:val="16"/>
              </w:rPr>
              <w:t xml:space="preserve">2 </w:t>
            </w:r>
            <w:r w:rsidRPr="00390B67">
              <w:rPr>
                <w:rFonts w:ascii="Arial" w:hAnsi="Arial" w:cs="Arial"/>
                <w:sz w:val="16"/>
                <w:szCs w:val="16"/>
              </w:rPr>
              <w:t>Low</w:t>
            </w:r>
            <w:r w:rsidR="004C2716">
              <w:rPr>
                <w:rFonts w:ascii="Arial" w:hAnsi="Arial" w:cs="Arial"/>
                <w:sz w:val="16"/>
                <w:szCs w:val="16"/>
              </w:rPr>
              <w:t xml:space="preserve"> local</w:t>
            </w:r>
            <w:r w:rsidRPr="00390B67">
              <w:rPr>
                <w:rFonts w:ascii="Arial" w:hAnsi="Arial" w:cs="Arial"/>
                <w:sz w:val="16"/>
                <w:szCs w:val="16"/>
              </w:rPr>
              <w:t xml:space="preserve"> goal congruence</w:t>
            </w:r>
          </w:p>
          <w:p w14:paraId="4BDCE829" w14:textId="77777777" w:rsidR="00D5177C" w:rsidRPr="00390B67" w:rsidRDefault="00D5177C" w:rsidP="00BE714E">
            <w:pPr>
              <w:spacing w:line="240" w:lineRule="auto"/>
              <w:ind w:left="-108" w:right="-108" w:firstLine="49"/>
              <w:jc w:val="left"/>
              <w:rPr>
                <w:rFonts w:ascii="Arial" w:hAnsi="Arial" w:cs="Arial"/>
                <w:sz w:val="16"/>
                <w:szCs w:val="16"/>
              </w:rPr>
            </w:pPr>
          </w:p>
          <w:p w14:paraId="56C2B9BB" w14:textId="74C33EB7" w:rsidR="00D5177C" w:rsidRPr="00390B67" w:rsidRDefault="00D5177C" w:rsidP="00BE714E">
            <w:pPr>
              <w:spacing w:line="240" w:lineRule="auto"/>
              <w:ind w:left="-108" w:right="-108" w:firstLine="49"/>
              <w:jc w:val="left"/>
              <w:rPr>
                <w:rFonts w:ascii="Arial" w:hAnsi="Arial" w:cs="Arial"/>
                <w:sz w:val="16"/>
                <w:szCs w:val="16"/>
              </w:rPr>
            </w:pPr>
            <w:r w:rsidRPr="00390B67">
              <w:rPr>
                <w:rFonts w:ascii="Arial" w:hAnsi="Arial" w:cs="Arial"/>
                <w:i/>
                <w:sz w:val="16"/>
                <w:szCs w:val="16"/>
              </w:rPr>
              <w:t xml:space="preserve">Divergences over the business case </w:t>
            </w:r>
          </w:p>
        </w:tc>
        <w:tc>
          <w:tcPr>
            <w:tcW w:w="1701" w:type="dxa"/>
            <w:tcBorders>
              <w:top w:val="single" w:sz="4" w:space="0" w:color="auto"/>
            </w:tcBorders>
          </w:tcPr>
          <w:p w14:paraId="0149D9D0" w14:textId="1C0B06BA"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Umpire</w:t>
            </w:r>
          </w:p>
          <w:p w14:paraId="0935A043" w14:textId="77777777" w:rsidR="00D5177C" w:rsidRPr="00390B67" w:rsidRDefault="00D5177C" w:rsidP="00BE714E">
            <w:pPr>
              <w:spacing w:line="240" w:lineRule="auto"/>
              <w:ind w:left="-108" w:right="-108" w:firstLine="44"/>
              <w:jc w:val="left"/>
              <w:rPr>
                <w:rFonts w:ascii="Arial" w:hAnsi="Arial" w:cs="Arial"/>
                <w:sz w:val="16"/>
                <w:szCs w:val="16"/>
              </w:rPr>
            </w:pPr>
          </w:p>
          <w:p w14:paraId="075C0F75" w14:textId="6951D772" w:rsidR="00D5177C" w:rsidRDefault="00D5177C" w:rsidP="00BE714E">
            <w:pPr>
              <w:spacing w:line="240" w:lineRule="auto"/>
              <w:ind w:left="-108" w:right="-108" w:firstLine="0"/>
              <w:jc w:val="left"/>
              <w:rPr>
                <w:rFonts w:ascii="Arial" w:hAnsi="Arial" w:cs="Arial"/>
                <w:sz w:val="16"/>
                <w:szCs w:val="16"/>
              </w:rPr>
            </w:pPr>
            <w:r w:rsidRPr="00390B67">
              <w:rPr>
                <w:rFonts w:ascii="Arial" w:hAnsi="Arial" w:cs="Arial"/>
                <w:i/>
                <w:sz w:val="16"/>
                <w:szCs w:val="16"/>
              </w:rPr>
              <w:t>UK Parliament (Land use regulator)</w:t>
            </w:r>
          </w:p>
        </w:tc>
        <w:tc>
          <w:tcPr>
            <w:tcW w:w="2835" w:type="dxa"/>
            <w:tcBorders>
              <w:top w:val="single" w:sz="4" w:space="0" w:color="auto"/>
            </w:tcBorders>
          </w:tcPr>
          <w:p w14:paraId="03C32319" w14:textId="35FF810C" w:rsidR="00D5177C" w:rsidRDefault="00D5177C" w:rsidP="00BE714E">
            <w:pPr>
              <w:spacing w:line="240" w:lineRule="auto"/>
              <w:ind w:left="-108" w:right="-108" w:firstLine="0"/>
              <w:jc w:val="left"/>
              <w:rPr>
                <w:rFonts w:ascii="Arial" w:hAnsi="Arial" w:cs="Arial"/>
                <w:sz w:val="16"/>
                <w:szCs w:val="16"/>
              </w:rPr>
            </w:pPr>
            <w:r w:rsidRPr="00390B67">
              <w:rPr>
                <w:rFonts w:ascii="Arial" w:hAnsi="Arial" w:cs="Arial"/>
                <w:sz w:val="16"/>
                <w:szCs w:val="16"/>
              </w:rPr>
              <w:t>Mutual compromise</w:t>
            </w:r>
            <w:r w:rsidR="004C2716">
              <w:rPr>
                <w:rFonts w:ascii="Arial" w:hAnsi="Arial" w:cs="Arial"/>
                <w:sz w:val="16"/>
                <w:szCs w:val="16"/>
              </w:rPr>
              <w:t xml:space="preserve"> facilitated by umpire</w:t>
            </w:r>
            <w:r w:rsidRPr="00390B67">
              <w:rPr>
                <w:rFonts w:ascii="Arial" w:hAnsi="Arial" w:cs="Arial"/>
                <w:sz w:val="16"/>
                <w:szCs w:val="16"/>
              </w:rPr>
              <w:t xml:space="preserve">  (</w:t>
            </w:r>
            <w:r w:rsidR="004C2716">
              <w:rPr>
                <w:rFonts w:ascii="Arial" w:hAnsi="Arial" w:cs="Arial"/>
                <w:sz w:val="16"/>
                <w:szCs w:val="16"/>
              </w:rPr>
              <w:t xml:space="preserve">after </w:t>
            </w:r>
            <w:r w:rsidRPr="00390B67">
              <w:rPr>
                <w:rFonts w:ascii="Arial" w:hAnsi="Arial" w:cs="Arial"/>
                <w:sz w:val="16"/>
                <w:szCs w:val="16"/>
              </w:rPr>
              <w:t>2 major design cycles)</w:t>
            </w:r>
          </w:p>
          <w:p w14:paraId="44820823" w14:textId="77777777" w:rsidR="004C2716" w:rsidRPr="00390B67" w:rsidRDefault="004C2716" w:rsidP="00BE714E">
            <w:pPr>
              <w:spacing w:line="240" w:lineRule="auto"/>
              <w:ind w:left="-108" w:right="-108" w:firstLine="0"/>
              <w:jc w:val="left"/>
              <w:rPr>
                <w:rFonts w:ascii="Arial" w:hAnsi="Arial" w:cs="Arial"/>
                <w:sz w:val="16"/>
                <w:szCs w:val="16"/>
              </w:rPr>
            </w:pPr>
          </w:p>
          <w:p w14:paraId="71C9AAC8" w14:textId="11142655" w:rsidR="00D5177C" w:rsidRPr="00390B67" w:rsidRDefault="00D5177C" w:rsidP="004C2716">
            <w:pPr>
              <w:spacing w:line="240" w:lineRule="auto"/>
              <w:ind w:left="-108" w:right="-108" w:firstLine="0"/>
              <w:jc w:val="left"/>
              <w:rPr>
                <w:rFonts w:ascii="Arial" w:hAnsi="Arial" w:cs="Arial"/>
                <w:sz w:val="16"/>
                <w:szCs w:val="16"/>
              </w:rPr>
            </w:pPr>
            <w:r w:rsidRPr="00390B67">
              <w:rPr>
                <w:rFonts w:ascii="Arial" w:hAnsi="Arial" w:cs="Arial"/>
                <w:i/>
                <w:sz w:val="16"/>
                <w:szCs w:val="16"/>
              </w:rPr>
              <w:t xml:space="preserve">Parliament rules that station should be built, but </w:t>
            </w:r>
            <w:r w:rsidR="004C2716">
              <w:rPr>
                <w:rFonts w:ascii="Arial" w:hAnsi="Arial" w:cs="Arial"/>
                <w:i/>
                <w:sz w:val="16"/>
                <w:szCs w:val="16"/>
              </w:rPr>
              <w:t>asks for local</w:t>
            </w:r>
            <w:r w:rsidRPr="00390B67">
              <w:rPr>
                <w:rFonts w:ascii="Arial" w:hAnsi="Arial" w:cs="Arial"/>
                <w:i/>
                <w:sz w:val="16"/>
                <w:szCs w:val="16"/>
              </w:rPr>
              <w:t xml:space="preserve"> finance </w:t>
            </w:r>
          </w:p>
        </w:tc>
        <w:tc>
          <w:tcPr>
            <w:tcW w:w="1559" w:type="dxa"/>
            <w:tcBorders>
              <w:top w:val="single" w:sz="4" w:space="0" w:color="auto"/>
            </w:tcBorders>
          </w:tcPr>
          <w:p w14:paraId="0038259A" w14:textId="77777777" w:rsidR="00D5177C" w:rsidRPr="00390B67" w:rsidRDefault="00D5177C" w:rsidP="00BE714E">
            <w:pPr>
              <w:tabs>
                <w:tab w:val="left" w:pos="682"/>
              </w:tabs>
              <w:spacing w:line="240" w:lineRule="auto"/>
              <w:ind w:left="-108" w:right="-108" w:firstLine="44"/>
              <w:jc w:val="left"/>
              <w:rPr>
                <w:rFonts w:ascii="Arial" w:hAnsi="Arial" w:cs="Arial"/>
                <w:sz w:val="16"/>
                <w:szCs w:val="16"/>
              </w:rPr>
            </w:pPr>
            <w:r w:rsidRPr="00390B67">
              <w:rPr>
                <w:rFonts w:ascii="Arial" w:hAnsi="Arial" w:cs="Arial"/>
                <w:sz w:val="16"/>
                <w:szCs w:val="16"/>
              </w:rPr>
              <w:t>Yes</w:t>
            </w:r>
          </w:p>
          <w:p w14:paraId="0507471C" w14:textId="77777777" w:rsidR="00D5177C" w:rsidRPr="00390B67" w:rsidRDefault="00D5177C" w:rsidP="00BE714E">
            <w:pPr>
              <w:tabs>
                <w:tab w:val="left" w:pos="682"/>
              </w:tabs>
              <w:spacing w:line="240" w:lineRule="auto"/>
              <w:ind w:left="-108" w:right="-108" w:firstLine="44"/>
              <w:jc w:val="left"/>
              <w:rPr>
                <w:rFonts w:ascii="Arial" w:hAnsi="Arial" w:cs="Arial"/>
                <w:sz w:val="16"/>
                <w:szCs w:val="16"/>
              </w:rPr>
            </w:pPr>
          </w:p>
          <w:p w14:paraId="60A9AC19" w14:textId="4D0F37B0" w:rsidR="00D5177C" w:rsidRPr="00390B67" w:rsidRDefault="00D5177C" w:rsidP="00585BCA">
            <w:pPr>
              <w:tabs>
                <w:tab w:val="left" w:pos="682"/>
              </w:tabs>
              <w:spacing w:line="240" w:lineRule="auto"/>
              <w:ind w:left="-107" w:right="-108" w:firstLine="0"/>
              <w:jc w:val="left"/>
              <w:rPr>
                <w:rFonts w:ascii="Arial" w:hAnsi="Arial" w:cs="Arial"/>
                <w:sz w:val="16"/>
                <w:szCs w:val="16"/>
              </w:rPr>
            </w:pPr>
            <w:r w:rsidRPr="00390B67">
              <w:rPr>
                <w:rFonts w:ascii="Arial" w:hAnsi="Arial" w:cs="Arial"/>
                <w:i/>
                <w:sz w:val="16"/>
                <w:szCs w:val="16"/>
              </w:rPr>
              <w:t xml:space="preserve">Construction of the station </w:t>
            </w:r>
            <w:r w:rsidR="004C2716">
              <w:rPr>
                <w:rFonts w:ascii="Arial" w:hAnsi="Arial" w:cs="Arial"/>
                <w:i/>
                <w:sz w:val="16"/>
                <w:szCs w:val="16"/>
              </w:rPr>
              <w:t>agreed</w:t>
            </w:r>
            <w:r w:rsidRPr="00390B67">
              <w:rPr>
                <w:rFonts w:ascii="Arial" w:hAnsi="Arial" w:cs="Arial"/>
                <w:i/>
                <w:sz w:val="16"/>
                <w:szCs w:val="16"/>
              </w:rPr>
              <w:t xml:space="preserve"> </w:t>
            </w:r>
          </w:p>
        </w:tc>
        <w:tc>
          <w:tcPr>
            <w:tcW w:w="1984" w:type="dxa"/>
            <w:tcBorders>
              <w:top w:val="single" w:sz="4" w:space="0" w:color="auto"/>
            </w:tcBorders>
          </w:tcPr>
          <w:p w14:paraId="3FA4B69D" w14:textId="77777777"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 xml:space="preserve">Relaxed </w:t>
            </w:r>
          </w:p>
          <w:p w14:paraId="2CFE7AA6" w14:textId="77777777" w:rsidR="00D5177C" w:rsidRPr="00390B67" w:rsidRDefault="00D5177C" w:rsidP="00BE714E">
            <w:pPr>
              <w:spacing w:line="240" w:lineRule="auto"/>
              <w:ind w:left="-108" w:right="-108" w:firstLine="44"/>
              <w:jc w:val="left"/>
              <w:rPr>
                <w:rFonts w:ascii="Arial" w:hAnsi="Arial" w:cs="Arial"/>
                <w:sz w:val="16"/>
                <w:szCs w:val="16"/>
              </w:rPr>
            </w:pPr>
          </w:p>
          <w:p w14:paraId="683C1512" w14:textId="5BD8263D" w:rsidR="00D5177C" w:rsidRPr="00390B67" w:rsidRDefault="004C2716" w:rsidP="00585BCA">
            <w:pPr>
              <w:spacing w:line="240" w:lineRule="auto"/>
              <w:ind w:left="-108" w:right="-108" w:firstLine="0"/>
              <w:jc w:val="left"/>
              <w:rPr>
                <w:rFonts w:ascii="Arial" w:hAnsi="Arial" w:cs="Arial"/>
                <w:sz w:val="16"/>
                <w:szCs w:val="16"/>
              </w:rPr>
            </w:pPr>
            <w:r>
              <w:rPr>
                <w:rFonts w:ascii="Arial" w:hAnsi="Arial" w:cs="Arial"/>
                <w:i/>
                <w:sz w:val="16"/>
                <w:szCs w:val="16"/>
              </w:rPr>
              <w:t xml:space="preserve">Dispute only fully resolved in </w:t>
            </w:r>
            <w:r w:rsidR="00D5177C" w:rsidRPr="00390B67">
              <w:rPr>
                <w:rFonts w:ascii="Arial" w:hAnsi="Arial" w:cs="Arial"/>
                <w:i/>
                <w:sz w:val="16"/>
                <w:szCs w:val="16"/>
              </w:rPr>
              <w:t>2013</w:t>
            </w:r>
            <w:r>
              <w:rPr>
                <w:rFonts w:ascii="Arial" w:hAnsi="Arial" w:cs="Arial"/>
                <w:i/>
                <w:sz w:val="16"/>
                <w:szCs w:val="16"/>
              </w:rPr>
              <w:t xml:space="preserve"> after 7 years of planning talks</w:t>
            </w:r>
          </w:p>
        </w:tc>
        <w:tc>
          <w:tcPr>
            <w:tcW w:w="2694" w:type="dxa"/>
            <w:tcBorders>
              <w:top w:val="single" w:sz="4" w:space="0" w:color="auto"/>
            </w:tcBorders>
          </w:tcPr>
          <w:p w14:paraId="4A3D24E2" w14:textId="77777777"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Relaxed</w:t>
            </w:r>
          </w:p>
          <w:p w14:paraId="26BCC2E0" w14:textId="77777777" w:rsidR="00D5177C" w:rsidRPr="00390B67" w:rsidRDefault="00D5177C" w:rsidP="00BE714E">
            <w:pPr>
              <w:spacing w:line="240" w:lineRule="auto"/>
              <w:ind w:left="-108" w:right="-108" w:firstLine="44"/>
              <w:jc w:val="left"/>
              <w:rPr>
                <w:rFonts w:ascii="Arial" w:hAnsi="Arial" w:cs="Arial"/>
                <w:sz w:val="16"/>
                <w:szCs w:val="16"/>
              </w:rPr>
            </w:pPr>
          </w:p>
          <w:p w14:paraId="328CDDDF" w14:textId="77777777"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2005, £0m  (no station)</w:t>
            </w:r>
          </w:p>
          <w:p w14:paraId="61288D53" w14:textId="77777777"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2008, £150m (local claimant pays)</w:t>
            </w:r>
          </w:p>
          <w:p w14:paraId="64013325" w14:textId="6BC296C5"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2013, £166m (£16m from promoter)</w:t>
            </w:r>
          </w:p>
        </w:tc>
      </w:tr>
      <w:tr w:rsidR="00D5177C" w:rsidRPr="00390B67" w14:paraId="0F8832B0" w14:textId="77777777" w:rsidTr="004C2716">
        <w:trPr>
          <w:trHeight w:val="714"/>
        </w:trPr>
        <w:tc>
          <w:tcPr>
            <w:tcW w:w="335" w:type="dxa"/>
            <w:vMerge w:val="restart"/>
            <w:tcBorders>
              <w:top w:val="single" w:sz="4" w:space="0" w:color="auto"/>
            </w:tcBorders>
            <w:textDirection w:val="btLr"/>
          </w:tcPr>
          <w:p w14:paraId="31F3F835" w14:textId="0A411D47" w:rsidR="00D5177C" w:rsidRPr="00390B67" w:rsidRDefault="00D5177C" w:rsidP="004C2716">
            <w:pPr>
              <w:spacing w:line="240" w:lineRule="auto"/>
              <w:ind w:left="113" w:right="-108" w:firstLine="0"/>
              <w:jc w:val="center"/>
              <w:rPr>
                <w:rFonts w:ascii="Arial" w:hAnsi="Arial" w:cs="Arial"/>
                <w:sz w:val="16"/>
                <w:szCs w:val="16"/>
              </w:rPr>
            </w:pPr>
            <w:r w:rsidRPr="00390B67">
              <w:rPr>
                <w:rFonts w:ascii="Arial" w:hAnsi="Arial" w:cs="Arial"/>
                <w:sz w:val="16"/>
                <w:szCs w:val="16"/>
              </w:rPr>
              <w:t>Heathrow T2</w:t>
            </w:r>
          </w:p>
        </w:tc>
        <w:tc>
          <w:tcPr>
            <w:tcW w:w="425" w:type="dxa"/>
            <w:vMerge w:val="restart"/>
            <w:tcBorders>
              <w:top w:val="single" w:sz="4" w:space="0" w:color="auto"/>
            </w:tcBorders>
            <w:textDirection w:val="btLr"/>
          </w:tcPr>
          <w:p w14:paraId="7785E8A2" w14:textId="006CA549" w:rsidR="00D5177C" w:rsidRPr="00390B67" w:rsidRDefault="00D5177C" w:rsidP="002A5417">
            <w:pPr>
              <w:spacing w:line="240" w:lineRule="auto"/>
              <w:ind w:left="113" w:right="-108" w:firstLine="0"/>
              <w:jc w:val="left"/>
              <w:rPr>
                <w:rFonts w:ascii="Arial" w:hAnsi="Arial" w:cs="Arial"/>
                <w:sz w:val="16"/>
                <w:szCs w:val="16"/>
              </w:rPr>
            </w:pPr>
            <w:r w:rsidRPr="00390B67">
              <w:rPr>
                <w:rFonts w:ascii="Arial" w:hAnsi="Arial" w:cs="Arial"/>
                <w:sz w:val="16"/>
                <w:szCs w:val="16"/>
              </w:rPr>
              <w:t>Main Concourse</w:t>
            </w:r>
          </w:p>
        </w:tc>
        <w:tc>
          <w:tcPr>
            <w:tcW w:w="1559" w:type="dxa"/>
            <w:tcBorders>
              <w:top w:val="single" w:sz="4" w:space="0" w:color="auto"/>
            </w:tcBorders>
          </w:tcPr>
          <w:p w14:paraId="7DC269FE" w14:textId="77777777" w:rsidR="00D5177C" w:rsidRPr="00390B67" w:rsidRDefault="00D5177C" w:rsidP="00BE714E">
            <w:pPr>
              <w:spacing w:line="240" w:lineRule="auto"/>
              <w:ind w:left="-108" w:right="-108" w:firstLine="49"/>
              <w:jc w:val="left"/>
              <w:rPr>
                <w:rFonts w:ascii="Arial" w:hAnsi="Arial" w:cs="Arial"/>
                <w:sz w:val="16"/>
                <w:szCs w:val="16"/>
              </w:rPr>
            </w:pPr>
            <w:r w:rsidRPr="00390B67">
              <w:rPr>
                <w:rFonts w:ascii="Arial" w:hAnsi="Arial" w:cs="Arial"/>
                <w:sz w:val="16"/>
                <w:szCs w:val="16"/>
              </w:rPr>
              <w:t>#</w:t>
            </w:r>
            <w:r>
              <w:rPr>
                <w:rFonts w:ascii="Arial" w:hAnsi="Arial" w:cs="Arial"/>
                <w:sz w:val="16"/>
                <w:szCs w:val="16"/>
              </w:rPr>
              <w:t>3</w:t>
            </w:r>
            <w:r w:rsidRPr="00390B67">
              <w:rPr>
                <w:rFonts w:ascii="Arial" w:hAnsi="Arial" w:cs="Arial"/>
                <w:sz w:val="16"/>
                <w:szCs w:val="16"/>
              </w:rPr>
              <w:t xml:space="preserve">, Low goal congruence </w:t>
            </w:r>
          </w:p>
          <w:p w14:paraId="26693C12" w14:textId="77777777" w:rsidR="00D5177C" w:rsidRPr="00390B67" w:rsidRDefault="00D5177C" w:rsidP="00BE714E">
            <w:pPr>
              <w:spacing w:line="240" w:lineRule="auto"/>
              <w:ind w:left="-108" w:right="-108" w:firstLine="49"/>
              <w:jc w:val="left"/>
              <w:rPr>
                <w:rFonts w:ascii="Arial" w:hAnsi="Arial" w:cs="Arial"/>
                <w:sz w:val="16"/>
                <w:szCs w:val="16"/>
              </w:rPr>
            </w:pPr>
          </w:p>
          <w:p w14:paraId="673A97D2" w14:textId="2E324FB0" w:rsidR="00D5177C" w:rsidRPr="00390B67" w:rsidRDefault="00D5177C" w:rsidP="00BE714E">
            <w:pPr>
              <w:spacing w:line="240" w:lineRule="auto"/>
              <w:ind w:left="-108" w:right="-108" w:firstLine="49"/>
              <w:jc w:val="left"/>
              <w:rPr>
                <w:rFonts w:ascii="Arial" w:hAnsi="Arial" w:cs="Arial"/>
                <w:sz w:val="16"/>
                <w:szCs w:val="16"/>
              </w:rPr>
            </w:pPr>
            <w:r w:rsidRPr="00390B67">
              <w:rPr>
                <w:rFonts w:ascii="Arial" w:hAnsi="Arial" w:cs="Arial"/>
                <w:i/>
                <w:sz w:val="16"/>
                <w:szCs w:val="16"/>
              </w:rPr>
              <w:t>Modern campus vs. facility replacement</w:t>
            </w:r>
          </w:p>
        </w:tc>
        <w:tc>
          <w:tcPr>
            <w:tcW w:w="1701" w:type="dxa"/>
            <w:tcBorders>
              <w:top w:val="single" w:sz="4" w:space="0" w:color="auto"/>
            </w:tcBorders>
          </w:tcPr>
          <w:p w14:paraId="5B27E1E9" w14:textId="0E3FE10F" w:rsidR="00D5177C" w:rsidRPr="00390B67" w:rsidRDefault="004C2716" w:rsidP="00BE714E">
            <w:pPr>
              <w:spacing w:line="240" w:lineRule="auto"/>
              <w:ind w:left="-108" w:right="-108" w:firstLine="0"/>
              <w:jc w:val="left"/>
              <w:rPr>
                <w:rFonts w:ascii="Arial" w:hAnsi="Arial" w:cs="Arial"/>
                <w:sz w:val="16"/>
                <w:szCs w:val="16"/>
              </w:rPr>
            </w:pPr>
            <w:r>
              <w:rPr>
                <w:rFonts w:ascii="Arial" w:hAnsi="Arial" w:cs="Arial"/>
                <w:sz w:val="16"/>
                <w:szCs w:val="16"/>
              </w:rPr>
              <w:t>Planning talks</w:t>
            </w:r>
          </w:p>
          <w:p w14:paraId="241292B8" w14:textId="77777777" w:rsidR="00D5177C" w:rsidRPr="00390B67" w:rsidRDefault="00D5177C" w:rsidP="00BE714E">
            <w:pPr>
              <w:spacing w:line="240" w:lineRule="auto"/>
              <w:ind w:left="-108" w:right="-108" w:firstLine="44"/>
              <w:jc w:val="left"/>
              <w:rPr>
                <w:rFonts w:ascii="Arial" w:hAnsi="Arial" w:cs="Arial"/>
                <w:sz w:val="16"/>
                <w:szCs w:val="16"/>
              </w:rPr>
            </w:pPr>
          </w:p>
          <w:p w14:paraId="4DDF2EA0" w14:textId="5ED1F426" w:rsidR="00D5177C" w:rsidRPr="00390B67" w:rsidRDefault="004C2716" w:rsidP="00BE714E">
            <w:pPr>
              <w:spacing w:line="240" w:lineRule="auto"/>
              <w:ind w:left="-108" w:right="-108" w:firstLine="44"/>
              <w:jc w:val="left"/>
              <w:rPr>
                <w:rFonts w:ascii="Arial" w:hAnsi="Arial" w:cs="Arial"/>
                <w:sz w:val="16"/>
                <w:szCs w:val="16"/>
              </w:rPr>
            </w:pPr>
            <w:r>
              <w:rPr>
                <w:rFonts w:ascii="Arial" w:hAnsi="Arial" w:cs="Arial"/>
                <w:i/>
                <w:sz w:val="16"/>
                <w:szCs w:val="16"/>
              </w:rPr>
              <w:t>Ai</w:t>
            </w:r>
            <w:r w:rsidR="00D5177C" w:rsidRPr="00390B67">
              <w:rPr>
                <w:rFonts w:ascii="Arial" w:hAnsi="Arial" w:cs="Arial"/>
                <w:i/>
                <w:sz w:val="16"/>
                <w:szCs w:val="16"/>
              </w:rPr>
              <w:t xml:space="preserve">rport economic </w:t>
            </w:r>
            <w:r w:rsidR="00D5177C">
              <w:rPr>
                <w:rFonts w:ascii="Arial" w:hAnsi="Arial" w:cs="Arial"/>
                <w:i/>
                <w:sz w:val="16"/>
                <w:szCs w:val="16"/>
              </w:rPr>
              <w:t>regulator</w:t>
            </w:r>
            <w:r>
              <w:rPr>
                <w:rFonts w:ascii="Arial" w:hAnsi="Arial" w:cs="Arial"/>
                <w:i/>
                <w:sz w:val="16"/>
                <w:szCs w:val="16"/>
              </w:rPr>
              <w:t xml:space="preserve"> mediated planning talks</w:t>
            </w:r>
          </w:p>
        </w:tc>
        <w:tc>
          <w:tcPr>
            <w:tcW w:w="2835" w:type="dxa"/>
            <w:tcBorders>
              <w:top w:val="single" w:sz="4" w:space="0" w:color="auto"/>
            </w:tcBorders>
          </w:tcPr>
          <w:p w14:paraId="6CBBE615" w14:textId="77777777" w:rsidR="00D5177C" w:rsidRPr="00390B67" w:rsidRDefault="00D5177C" w:rsidP="00BE714E">
            <w:pPr>
              <w:spacing w:line="240" w:lineRule="auto"/>
              <w:ind w:left="-108" w:right="-108" w:firstLine="0"/>
              <w:jc w:val="left"/>
              <w:rPr>
                <w:rFonts w:ascii="Arial" w:hAnsi="Arial" w:cs="Arial"/>
                <w:sz w:val="16"/>
                <w:szCs w:val="16"/>
              </w:rPr>
            </w:pPr>
            <w:r w:rsidRPr="00390B67">
              <w:rPr>
                <w:rFonts w:ascii="Arial" w:hAnsi="Arial" w:cs="Arial"/>
                <w:sz w:val="16"/>
                <w:szCs w:val="16"/>
              </w:rPr>
              <w:t>Mutual compromise (after 3 major design cycles)</w:t>
            </w:r>
          </w:p>
          <w:p w14:paraId="7F76B1BB" w14:textId="77777777" w:rsidR="00D5177C" w:rsidRPr="00390B67" w:rsidRDefault="00D5177C" w:rsidP="00BE714E">
            <w:pPr>
              <w:spacing w:line="240" w:lineRule="auto"/>
              <w:ind w:left="-108" w:right="-108" w:firstLine="49"/>
              <w:jc w:val="left"/>
              <w:rPr>
                <w:rFonts w:ascii="Arial" w:hAnsi="Arial" w:cs="Arial"/>
                <w:sz w:val="16"/>
                <w:szCs w:val="16"/>
              </w:rPr>
            </w:pPr>
          </w:p>
          <w:p w14:paraId="060C9A14" w14:textId="078D47C0" w:rsidR="00D5177C" w:rsidRPr="00390B67" w:rsidRDefault="00D5177C" w:rsidP="00BE714E">
            <w:pPr>
              <w:spacing w:line="240" w:lineRule="auto"/>
              <w:ind w:left="-108" w:right="-108" w:firstLine="0"/>
              <w:jc w:val="left"/>
              <w:rPr>
                <w:rFonts w:ascii="Arial" w:hAnsi="Arial" w:cs="Arial"/>
                <w:sz w:val="16"/>
                <w:szCs w:val="16"/>
              </w:rPr>
            </w:pPr>
            <w:r w:rsidRPr="00390B67">
              <w:rPr>
                <w:rFonts w:ascii="Arial" w:hAnsi="Arial" w:cs="Arial"/>
                <w:i/>
                <w:sz w:val="16"/>
                <w:szCs w:val="16"/>
              </w:rPr>
              <w:t>Future expansion  of main concourse building is actively safeguarded</w:t>
            </w:r>
          </w:p>
        </w:tc>
        <w:tc>
          <w:tcPr>
            <w:tcW w:w="1559" w:type="dxa"/>
            <w:tcBorders>
              <w:top w:val="single" w:sz="4" w:space="0" w:color="auto"/>
            </w:tcBorders>
          </w:tcPr>
          <w:p w14:paraId="52064B1E" w14:textId="77777777" w:rsidR="00D5177C" w:rsidRPr="00390B67" w:rsidRDefault="00D5177C" w:rsidP="00BE714E">
            <w:pPr>
              <w:tabs>
                <w:tab w:val="left" w:pos="682"/>
              </w:tabs>
              <w:spacing w:line="240" w:lineRule="auto"/>
              <w:ind w:left="-108" w:right="-108" w:firstLine="44"/>
              <w:jc w:val="left"/>
              <w:rPr>
                <w:rFonts w:ascii="Arial" w:hAnsi="Arial" w:cs="Arial"/>
                <w:sz w:val="16"/>
                <w:szCs w:val="16"/>
              </w:rPr>
            </w:pPr>
            <w:r w:rsidRPr="00390B67">
              <w:rPr>
                <w:rFonts w:ascii="Arial" w:hAnsi="Arial" w:cs="Arial"/>
                <w:sz w:val="16"/>
                <w:szCs w:val="16"/>
              </w:rPr>
              <w:t>Yes</w:t>
            </w:r>
          </w:p>
          <w:p w14:paraId="567CAAD8" w14:textId="77777777" w:rsidR="00D5177C" w:rsidRPr="00390B67" w:rsidRDefault="00D5177C" w:rsidP="00BE714E">
            <w:pPr>
              <w:tabs>
                <w:tab w:val="left" w:pos="682"/>
              </w:tabs>
              <w:spacing w:line="240" w:lineRule="auto"/>
              <w:ind w:left="-108" w:right="-108" w:firstLine="44"/>
              <w:jc w:val="left"/>
              <w:rPr>
                <w:rFonts w:ascii="Arial" w:hAnsi="Arial" w:cs="Arial"/>
                <w:sz w:val="16"/>
                <w:szCs w:val="16"/>
              </w:rPr>
            </w:pPr>
          </w:p>
          <w:p w14:paraId="2C7F9E99" w14:textId="07B2FE5C" w:rsidR="00D5177C" w:rsidRPr="00390B67" w:rsidRDefault="00D5177C" w:rsidP="00BE714E">
            <w:pPr>
              <w:tabs>
                <w:tab w:val="left" w:pos="682"/>
              </w:tabs>
              <w:spacing w:line="240" w:lineRule="auto"/>
              <w:ind w:left="-108" w:right="-108" w:firstLine="44"/>
              <w:jc w:val="left"/>
              <w:rPr>
                <w:rFonts w:ascii="Arial" w:hAnsi="Arial" w:cs="Arial"/>
                <w:sz w:val="16"/>
                <w:szCs w:val="16"/>
              </w:rPr>
            </w:pPr>
            <w:r w:rsidRPr="00390B67">
              <w:rPr>
                <w:rFonts w:ascii="Arial" w:hAnsi="Arial" w:cs="Arial"/>
                <w:i/>
                <w:sz w:val="16"/>
                <w:szCs w:val="16"/>
              </w:rPr>
              <w:t>Extra capacity for  future expansion (tunnels, basements)</w:t>
            </w:r>
          </w:p>
        </w:tc>
        <w:tc>
          <w:tcPr>
            <w:tcW w:w="1984" w:type="dxa"/>
            <w:tcBorders>
              <w:top w:val="single" w:sz="4" w:space="0" w:color="auto"/>
            </w:tcBorders>
          </w:tcPr>
          <w:p w14:paraId="78D4B362" w14:textId="77777777"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 xml:space="preserve">Relaxed </w:t>
            </w:r>
          </w:p>
          <w:p w14:paraId="12F2BE00" w14:textId="77777777" w:rsidR="00D5177C" w:rsidRPr="00390B67" w:rsidRDefault="00D5177C" w:rsidP="00BE714E">
            <w:pPr>
              <w:spacing w:line="240" w:lineRule="auto"/>
              <w:ind w:left="-108" w:right="-108" w:firstLine="44"/>
              <w:jc w:val="left"/>
              <w:rPr>
                <w:rFonts w:ascii="Arial" w:hAnsi="Arial" w:cs="Arial"/>
                <w:sz w:val="16"/>
                <w:szCs w:val="16"/>
              </w:rPr>
            </w:pPr>
          </w:p>
          <w:p w14:paraId="36F4294D" w14:textId="37904094" w:rsidR="00D5177C" w:rsidRPr="00390B67" w:rsidRDefault="00D5177C" w:rsidP="004C2716">
            <w:pPr>
              <w:spacing w:line="240" w:lineRule="auto"/>
              <w:ind w:left="-108" w:right="-108" w:firstLine="44"/>
              <w:jc w:val="left"/>
              <w:rPr>
                <w:rFonts w:ascii="Arial" w:hAnsi="Arial" w:cs="Arial"/>
                <w:sz w:val="16"/>
                <w:szCs w:val="16"/>
              </w:rPr>
            </w:pPr>
            <w:r w:rsidRPr="00390B67">
              <w:rPr>
                <w:rFonts w:ascii="Arial" w:hAnsi="Arial" w:cs="Arial"/>
                <w:i/>
                <w:sz w:val="16"/>
                <w:szCs w:val="16"/>
              </w:rPr>
              <w:t xml:space="preserve">Dispute pushed back the end of the </w:t>
            </w:r>
            <w:r w:rsidR="004C2716">
              <w:rPr>
                <w:rFonts w:ascii="Arial" w:hAnsi="Arial" w:cs="Arial"/>
                <w:i/>
                <w:sz w:val="16"/>
                <w:szCs w:val="16"/>
              </w:rPr>
              <w:t xml:space="preserve">planning </w:t>
            </w:r>
            <w:r w:rsidRPr="00390B67">
              <w:rPr>
                <w:rFonts w:ascii="Arial" w:hAnsi="Arial" w:cs="Arial"/>
                <w:i/>
                <w:sz w:val="16"/>
                <w:szCs w:val="16"/>
              </w:rPr>
              <w:t>in one year</w:t>
            </w:r>
          </w:p>
        </w:tc>
        <w:tc>
          <w:tcPr>
            <w:tcW w:w="2694" w:type="dxa"/>
            <w:tcBorders>
              <w:top w:val="single" w:sz="4" w:space="0" w:color="auto"/>
            </w:tcBorders>
          </w:tcPr>
          <w:p w14:paraId="2B78BFFE" w14:textId="77777777"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Relaxed</w:t>
            </w:r>
          </w:p>
          <w:p w14:paraId="526A3AFB" w14:textId="77777777" w:rsidR="00D5177C" w:rsidRPr="00390B67" w:rsidRDefault="00D5177C" w:rsidP="00BE714E">
            <w:pPr>
              <w:spacing w:line="240" w:lineRule="auto"/>
              <w:ind w:left="-108" w:right="-108" w:firstLine="44"/>
              <w:jc w:val="left"/>
              <w:rPr>
                <w:rFonts w:ascii="Arial" w:hAnsi="Arial" w:cs="Arial"/>
                <w:sz w:val="16"/>
                <w:szCs w:val="16"/>
              </w:rPr>
            </w:pPr>
          </w:p>
          <w:p w14:paraId="50658281" w14:textId="77777777"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2005, ~£666m (final prices)</w:t>
            </w:r>
          </w:p>
          <w:p w14:paraId="614C681A" w14:textId="77777777"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2008,~ £1bn (£200m in safeguards)</w:t>
            </w:r>
          </w:p>
          <w:p w14:paraId="4FE14105" w14:textId="4B429419"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2015, £1.2bn</w:t>
            </w:r>
          </w:p>
        </w:tc>
      </w:tr>
      <w:tr w:rsidR="00D5177C" w:rsidRPr="00390B67" w14:paraId="1B616DCC" w14:textId="77777777" w:rsidTr="004C2716">
        <w:trPr>
          <w:trHeight w:val="714"/>
        </w:trPr>
        <w:tc>
          <w:tcPr>
            <w:tcW w:w="335" w:type="dxa"/>
            <w:vMerge/>
            <w:textDirection w:val="btLr"/>
          </w:tcPr>
          <w:p w14:paraId="76CB6F82" w14:textId="77777777" w:rsidR="00D5177C" w:rsidRPr="00390B67" w:rsidRDefault="00D5177C" w:rsidP="00D5177C">
            <w:pPr>
              <w:spacing w:line="240" w:lineRule="auto"/>
              <w:ind w:left="113" w:right="-108" w:firstLine="0"/>
              <w:jc w:val="left"/>
              <w:rPr>
                <w:rFonts w:ascii="Arial" w:hAnsi="Arial" w:cs="Arial"/>
                <w:sz w:val="16"/>
                <w:szCs w:val="16"/>
              </w:rPr>
            </w:pPr>
          </w:p>
        </w:tc>
        <w:tc>
          <w:tcPr>
            <w:tcW w:w="425" w:type="dxa"/>
            <w:vMerge/>
            <w:textDirection w:val="btLr"/>
          </w:tcPr>
          <w:p w14:paraId="7581C07D" w14:textId="77777777" w:rsidR="00D5177C" w:rsidRPr="00390B67" w:rsidRDefault="00D5177C" w:rsidP="002A5417">
            <w:pPr>
              <w:spacing w:line="240" w:lineRule="auto"/>
              <w:ind w:left="113" w:right="-108" w:firstLine="0"/>
              <w:jc w:val="left"/>
              <w:rPr>
                <w:rFonts w:ascii="Arial" w:hAnsi="Arial" w:cs="Arial"/>
                <w:sz w:val="16"/>
                <w:szCs w:val="16"/>
              </w:rPr>
            </w:pPr>
          </w:p>
        </w:tc>
        <w:tc>
          <w:tcPr>
            <w:tcW w:w="1559" w:type="dxa"/>
            <w:tcBorders>
              <w:top w:val="single" w:sz="4" w:space="0" w:color="auto"/>
            </w:tcBorders>
          </w:tcPr>
          <w:p w14:paraId="54385713" w14:textId="340A4163" w:rsidR="00D5177C" w:rsidRPr="00390B67" w:rsidRDefault="00D5177C" w:rsidP="00BE714E">
            <w:pPr>
              <w:spacing w:line="240" w:lineRule="auto"/>
              <w:ind w:left="-108" w:right="-108" w:firstLine="49"/>
              <w:jc w:val="left"/>
              <w:rPr>
                <w:rFonts w:ascii="Arial" w:hAnsi="Arial" w:cs="Arial"/>
                <w:sz w:val="16"/>
                <w:szCs w:val="16"/>
              </w:rPr>
            </w:pPr>
            <w:r w:rsidRPr="00390B67">
              <w:rPr>
                <w:rFonts w:ascii="Arial" w:hAnsi="Arial" w:cs="Arial"/>
                <w:sz w:val="16"/>
                <w:szCs w:val="16"/>
              </w:rPr>
              <w:t>#</w:t>
            </w:r>
            <w:r>
              <w:rPr>
                <w:rFonts w:ascii="Arial" w:hAnsi="Arial" w:cs="Arial"/>
                <w:sz w:val="16"/>
                <w:szCs w:val="16"/>
              </w:rPr>
              <w:t>4</w:t>
            </w:r>
            <w:r w:rsidRPr="00390B67">
              <w:rPr>
                <w:rFonts w:ascii="Arial" w:hAnsi="Arial" w:cs="Arial"/>
                <w:sz w:val="16"/>
                <w:szCs w:val="16"/>
              </w:rPr>
              <w:t xml:space="preserve"> Rilvary over local </w:t>
            </w:r>
            <w:r w:rsidR="004C2716">
              <w:rPr>
                <w:rFonts w:ascii="Arial" w:hAnsi="Arial" w:cs="Arial"/>
                <w:sz w:val="16"/>
                <w:szCs w:val="16"/>
              </w:rPr>
              <w:t xml:space="preserve">planning </w:t>
            </w:r>
            <w:r w:rsidRPr="00390B67">
              <w:rPr>
                <w:rFonts w:ascii="Arial" w:hAnsi="Arial" w:cs="Arial"/>
                <w:sz w:val="16"/>
                <w:szCs w:val="16"/>
              </w:rPr>
              <w:t>choice</w:t>
            </w:r>
          </w:p>
          <w:p w14:paraId="1071657F" w14:textId="77777777" w:rsidR="00D5177C" w:rsidRPr="00390B67" w:rsidRDefault="00D5177C" w:rsidP="00BE714E">
            <w:pPr>
              <w:spacing w:line="240" w:lineRule="auto"/>
              <w:ind w:left="-108" w:right="-108" w:firstLine="49"/>
              <w:jc w:val="left"/>
              <w:rPr>
                <w:rFonts w:ascii="Arial" w:hAnsi="Arial" w:cs="Arial"/>
                <w:sz w:val="16"/>
                <w:szCs w:val="16"/>
              </w:rPr>
            </w:pPr>
          </w:p>
          <w:p w14:paraId="0DC27BC4" w14:textId="694F7AB2" w:rsidR="00D5177C" w:rsidRPr="00390B67" w:rsidRDefault="00D5177C" w:rsidP="00585BCA">
            <w:pPr>
              <w:spacing w:line="240" w:lineRule="auto"/>
              <w:ind w:left="-108" w:right="-108" w:firstLine="0"/>
              <w:jc w:val="left"/>
              <w:rPr>
                <w:rFonts w:ascii="Arial" w:hAnsi="Arial" w:cs="Arial"/>
                <w:sz w:val="16"/>
                <w:szCs w:val="16"/>
              </w:rPr>
            </w:pPr>
            <w:r w:rsidRPr="00390B67">
              <w:rPr>
                <w:rFonts w:ascii="Arial" w:hAnsi="Arial" w:cs="Arial"/>
                <w:i/>
                <w:sz w:val="16"/>
                <w:szCs w:val="16"/>
              </w:rPr>
              <w:t>Open versus closed gates</w:t>
            </w:r>
          </w:p>
        </w:tc>
        <w:tc>
          <w:tcPr>
            <w:tcW w:w="1701" w:type="dxa"/>
            <w:tcBorders>
              <w:top w:val="single" w:sz="4" w:space="0" w:color="auto"/>
            </w:tcBorders>
          </w:tcPr>
          <w:p w14:paraId="2922FC65" w14:textId="087B41B8" w:rsidR="00D5177C" w:rsidRDefault="004C2716" w:rsidP="00BE714E">
            <w:pPr>
              <w:spacing w:line="240" w:lineRule="auto"/>
              <w:ind w:left="-108" w:right="-108" w:firstLine="44"/>
              <w:jc w:val="left"/>
              <w:rPr>
                <w:rFonts w:ascii="Arial" w:hAnsi="Arial" w:cs="Arial"/>
                <w:sz w:val="16"/>
                <w:szCs w:val="16"/>
              </w:rPr>
            </w:pPr>
            <w:r>
              <w:rPr>
                <w:rFonts w:ascii="Arial" w:hAnsi="Arial" w:cs="Arial"/>
                <w:sz w:val="16"/>
                <w:szCs w:val="16"/>
              </w:rPr>
              <w:t>Planning talks</w:t>
            </w:r>
          </w:p>
          <w:p w14:paraId="3E398097" w14:textId="77777777" w:rsidR="00D5177C" w:rsidRPr="00390B67" w:rsidRDefault="00D5177C" w:rsidP="00BE714E">
            <w:pPr>
              <w:spacing w:line="240" w:lineRule="auto"/>
              <w:ind w:left="-108" w:right="-108" w:firstLine="44"/>
              <w:jc w:val="left"/>
              <w:rPr>
                <w:rFonts w:ascii="Arial" w:hAnsi="Arial" w:cs="Arial"/>
                <w:sz w:val="16"/>
                <w:szCs w:val="16"/>
              </w:rPr>
            </w:pPr>
          </w:p>
          <w:p w14:paraId="7912C785" w14:textId="1954B8CD" w:rsidR="00D5177C" w:rsidRPr="00390B67" w:rsidRDefault="004C2716" w:rsidP="004C2716">
            <w:pPr>
              <w:spacing w:line="240" w:lineRule="auto"/>
              <w:ind w:left="-108" w:right="-108" w:firstLine="44"/>
              <w:jc w:val="left"/>
              <w:rPr>
                <w:rFonts w:ascii="Arial" w:hAnsi="Arial" w:cs="Arial"/>
                <w:sz w:val="16"/>
                <w:szCs w:val="16"/>
              </w:rPr>
            </w:pPr>
            <w:r>
              <w:rPr>
                <w:rFonts w:ascii="Arial" w:hAnsi="Arial" w:cs="Arial"/>
                <w:i/>
                <w:sz w:val="16"/>
                <w:szCs w:val="16"/>
              </w:rPr>
              <w:t>I</w:t>
            </w:r>
            <w:r w:rsidR="00D5177C">
              <w:rPr>
                <w:rFonts w:ascii="Arial" w:hAnsi="Arial" w:cs="Arial"/>
                <w:i/>
                <w:sz w:val="16"/>
                <w:szCs w:val="16"/>
              </w:rPr>
              <w:t>ndependent director</w:t>
            </w:r>
            <w:r>
              <w:rPr>
                <w:rFonts w:ascii="Arial" w:hAnsi="Arial" w:cs="Arial"/>
                <w:i/>
                <w:sz w:val="16"/>
                <w:szCs w:val="16"/>
              </w:rPr>
              <w:t xml:space="preserve"> arbitrated planning talks</w:t>
            </w:r>
          </w:p>
        </w:tc>
        <w:tc>
          <w:tcPr>
            <w:tcW w:w="2835" w:type="dxa"/>
            <w:tcBorders>
              <w:top w:val="single" w:sz="4" w:space="0" w:color="auto"/>
            </w:tcBorders>
          </w:tcPr>
          <w:p w14:paraId="071D4F40" w14:textId="77777777" w:rsidR="00D5177C" w:rsidRPr="00390B67" w:rsidRDefault="00D5177C" w:rsidP="00BE714E">
            <w:pPr>
              <w:spacing w:line="240" w:lineRule="auto"/>
              <w:ind w:left="-108" w:right="-108" w:firstLine="0"/>
              <w:jc w:val="left"/>
              <w:rPr>
                <w:rFonts w:ascii="Arial" w:hAnsi="Arial" w:cs="Arial"/>
                <w:sz w:val="16"/>
                <w:szCs w:val="16"/>
              </w:rPr>
            </w:pPr>
            <w:r w:rsidRPr="00390B67">
              <w:rPr>
                <w:rFonts w:ascii="Arial" w:hAnsi="Arial" w:cs="Arial"/>
                <w:sz w:val="16"/>
                <w:szCs w:val="16"/>
              </w:rPr>
              <w:t>Mutual compromise (2 major design cycles)</w:t>
            </w:r>
          </w:p>
          <w:p w14:paraId="0A75F0C4" w14:textId="77777777" w:rsidR="00D5177C" w:rsidRPr="00390B67" w:rsidRDefault="00D5177C" w:rsidP="00BE714E">
            <w:pPr>
              <w:spacing w:line="240" w:lineRule="auto"/>
              <w:ind w:left="-108" w:right="-108" w:firstLine="49"/>
              <w:jc w:val="left"/>
              <w:rPr>
                <w:rFonts w:ascii="Arial" w:hAnsi="Arial" w:cs="Arial"/>
                <w:sz w:val="16"/>
                <w:szCs w:val="16"/>
              </w:rPr>
            </w:pPr>
          </w:p>
          <w:p w14:paraId="607D37CB" w14:textId="69A2509D" w:rsidR="00D5177C" w:rsidRPr="00390B67" w:rsidRDefault="00D5177C" w:rsidP="00BE714E">
            <w:pPr>
              <w:spacing w:line="240" w:lineRule="auto"/>
              <w:ind w:left="-108" w:right="-108" w:firstLine="0"/>
              <w:jc w:val="left"/>
              <w:rPr>
                <w:rFonts w:ascii="Arial" w:hAnsi="Arial" w:cs="Arial"/>
                <w:sz w:val="16"/>
                <w:szCs w:val="16"/>
              </w:rPr>
            </w:pPr>
            <w:r w:rsidRPr="00390B67">
              <w:rPr>
                <w:rFonts w:ascii="Arial" w:hAnsi="Arial" w:cs="Arial"/>
                <w:i/>
                <w:sz w:val="16"/>
                <w:szCs w:val="16"/>
              </w:rPr>
              <w:t>Gates can be open, but only if new boarding technology is adopted</w:t>
            </w:r>
          </w:p>
        </w:tc>
        <w:tc>
          <w:tcPr>
            <w:tcW w:w="1559" w:type="dxa"/>
            <w:tcBorders>
              <w:top w:val="single" w:sz="4" w:space="0" w:color="auto"/>
            </w:tcBorders>
          </w:tcPr>
          <w:p w14:paraId="12FB86D5" w14:textId="77777777" w:rsidR="00D5177C" w:rsidRPr="00390B67" w:rsidRDefault="00D5177C" w:rsidP="00BE714E">
            <w:pPr>
              <w:tabs>
                <w:tab w:val="left" w:pos="682"/>
              </w:tabs>
              <w:spacing w:line="240" w:lineRule="auto"/>
              <w:ind w:left="-108" w:right="-108" w:firstLine="44"/>
              <w:jc w:val="left"/>
              <w:rPr>
                <w:rFonts w:ascii="Arial" w:hAnsi="Arial" w:cs="Arial"/>
                <w:sz w:val="16"/>
                <w:szCs w:val="16"/>
              </w:rPr>
            </w:pPr>
            <w:r w:rsidRPr="00390B67">
              <w:rPr>
                <w:rFonts w:ascii="Arial" w:hAnsi="Arial" w:cs="Arial"/>
                <w:sz w:val="16"/>
                <w:szCs w:val="16"/>
              </w:rPr>
              <w:t>Yes</w:t>
            </w:r>
          </w:p>
          <w:p w14:paraId="56704D27" w14:textId="77777777" w:rsidR="00D5177C" w:rsidRPr="00390B67" w:rsidRDefault="00D5177C" w:rsidP="00BE714E">
            <w:pPr>
              <w:tabs>
                <w:tab w:val="left" w:pos="682"/>
              </w:tabs>
              <w:spacing w:line="240" w:lineRule="auto"/>
              <w:ind w:left="-108" w:right="-108" w:firstLine="44"/>
              <w:jc w:val="left"/>
              <w:rPr>
                <w:rFonts w:ascii="Arial" w:hAnsi="Arial" w:cs="Arial"/>
                <w:sz w:val="16"/>
                <w:szCs w:val="16"/>
              </w:rPr>
            </w:pPr>
          </w:p>
          <w:p w14:paraId="3ED257F7" w14:textId="59151374" w:rsidR="00D5177C" w:rsidRPr="00390B67" w:rsidRDefault="004C2716" w:rsidP="004C2716">
            <w:pPr>
              <w:tabs>
                <w:tab w:val="left" w:pos="682"/>
              </w:tabs>
              <w:spacing w:line="240" w:lineRule="auto"/>
              <w:ind w:left="-108" w:right="-108" w:firstLine="44"/>
              <w:jc w:val="left"/>
              <w:rPr>
                <w:rFonts w:ascii="Arial" w:hAnsi="Arial" w:cs="Arial"/>
                <w:sz w:val="16"/>
                <w:szCs w:val="16"/>
              </w:rPr>
            </w:pPr>
            <w:r>
              <w:rPr>
                <w:rFonts w:ascii="Arial" w:hAnsi="Arial" w:cs="Arial"/>
                <w:i/>
                <w:sz w:val="16"/>
                <w:szCs w:val="16"/>
              </w:rPr>
              <w:t xml:space="preserve">Flexible </w:t>
            </w:r>
            <w:r w:rsidR="00D5177C" w:rsidRPr="00390B67">
              <w:rPr>
                <w:rFonts w:ascii="Arial" w:hAnsi="Arial" w:cs="Arial"/>
                <w:i/>
                <w:sz w:val="16"/>
                <w:szCs w:val="16"/>
              </w:rPr>
              <w:t xml:space="preserve">building grid </w:t>
            </w:r>
            <w:r>
              <w:rPr>
                <w:rFonts w:ascii="Arial" w:hAnsi="Arial" w:cs="Arial"/>
                <w:i/>
                <w:sz w:val="16"/>
                <w:szCs w:val="16"/>
              </w:rPr>
              <w:t>to</w:t>
            </w:r>
            <w:r w:rsidR="00D5177C" w:rsidRPr="00390B67">
              <w:rPr>
                <w:rFonts w:ascii="Arial" w:hAnsi="Arial" w:cs="Arial"/>
                <w:i/>
                <w:sz w:val="16"/>
                <w:szCs w:val="16"/>
              </w:rPr>
              <w:t xml:space="preserve"> leave both options open</w:t>
            </w:r>
          </w:p>
        </w:tc>
        <w:tc>
          <w:tcPr>
            <w:tcW w:w="1984" w:type="dxa"/>
            <w:tcBorders>
              <w:top w:val="single" w:sz="4" w:space="0" w:color="auto"/>
            </w:tcBorders>
          </w:tcPr>
          <w:p w14:paraId="743D3B62" w14:textId="77777777"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Stable</w:t>
            </w:r>
          </w:p>
          <w:p w14:paraId="6C1C14B0" w14:textId="77777777" w:rsidR="00D5177C" w:rsidRPr="00390B67" w:rsidRDefault="00D5177C" w:rsidP="00BE714E">
            <w:pPr>
              <w:spacing w:line="240" w:lineRule="auto"/>
              <w:ind w:left="-108" w:right="-108" w:firstLine="44"/>
              <w:jc w:val="left"/>
              <w:rPr>
                <w:rFonts w:ascii="Arial" w:hAnsi="Arial" w:cs="Arial"/>
                <w:sz w:val="16"/>
                <w:szCs w:val="16"/>
              </w:rPr>
            </w:pPr>
          </w:p>
          <w:p w14:paraId="268563D1" w14:textId="189821B5" w:rsidR="00D5177C" w:rsidRPr="00390B67" w:rsidRDefault="00D5177C" w:rsidP="004C2716">
            <w:pPr>
              <w:spacing w:line="240" w:lineRule="auto"/>
              <w:ind w:left="-108" w:right="-108" w:firstLine="44"/>
              <w:jc w:val="left"/>
              <w:rPr>
                <w:rFonts w:ascii="Arial" w:hAnsi="Arial" w:cs="Arial"/>
                <w:sz w:val="16"/>
                <w:szCs w:val="16"/>
              </w:rPr>
            </w:pPr>
            <w:r w:rsidRPr="00390B67">
              <w:rPr>
                <w:rFonts w:ascii="Arial" w:hAnsi="Arial" w:cs="Arial"/>
                <w:i/>
                <w:sz w:val="16"/>
                <w:szCs w:val="16"/>
              </w:rPr>
              <w:t xml:space="preserve">Dispute resolved during the </w:t>
            </w:r>
            <w:r w:rsidR="004C2716">
              <w:rPr>
                <w:rFonts w:ascii="Arial" w:hAnsi="Arial" w:cs="Arial"/>
                <w:i/>
                <w:sz w:val="16"/>
                <w:szCs w:val="16"/>
              </w:rPr>
              <w:t>planning process</w:t>
            </w:r>
          </w:p>
        </w:tc>
        <w:tc>
          <w:tcPr>
            <w:tcW w:w="2694" w:type="dxa"/>
            <w:tcBorders>
              <w:top w:val="single" w:sz="4" w:space="0" w:color="auto"/>
            </w:tcBorders>
          </w:tcPr>
          <w:p w14:paraId="5536FB73" w14:textId="77777777"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Relaxed</w:t>
            </w:r>
          </w:p>
          <w:p w14:paraId="39595A1F" w14:textId="77777777" w:rsidR="00D5177C" w:rsidRPr="00390B67" w:rsidRDefault="00D5177C" w:rsidP="00BE714E">
            <w:pPr>
              <w:spacing w:line="240" w:lineRule="auto"/>
              <w:ind w:left="-108" w:right="-108" w:firstLine="44"/>
              <w:jc w:val="left"/>
              <w:rPr>
                <w:rFonts w:ascii="Arial" w:hAnsi="Arial" w:cs="Arial"/>
                <w:sz w:val="16"/>
                <w:szCs w:val="16"/>
              </w:rPr>
            </w:pPr>
          </w:p>
          <w:p w14:paraId="66530E88" w14:textId="33E32DF4" w:rsidR="00D5177C" w:rsidRPr="00390B67" w:rsidRDefault="00D5177C"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 xml:space="preserve">2008, ~£5m extra </w:t>
            </w:r>
          </w:p>
        </w:tc>
      </w:tr>
      <w:tr w:rsidR="002A5417" w:rsidRPr="00390B67" w14:paraId="7030F21E" w14:textId="77777777" w:rsidTr="004C2716">
        <w:trPr>
          <w:trHeight w:val="714"/>
        </w:trPr>
        <w:tc>
          <w:tcPr>
            <w:tcW w:w="335" w:type="dxa"/>
            <w:vMerge w:val="restart"/>
            <w:tcBorders>
              <w:top w:val="single" w:sz="4" w:space="0" w:color="auto"/>
            </w:tcBorders>
            <w:textDirection w:val="btLr"/>
          </w:tcPr>
          <w:p w14:paraId="434FDFB9" w14:textId="77777777" w:rsidR="002A5417" w:rsidRPr="00390B67" w:rsidRDefault="002A5417" w:rsidP="004C2716">
            <w:pPr>
              <w:spacing w:line="240" w:lineRule="auto"/>
              <w:ind w:left="113" w:right="-108" w:firstLine="0"/>
              <w:jc w:val="left"/>
              <w:rPr>
                <w:rFonts w:ascii="Arial" w:hAnsi="Arial" w:cs="Arial"/>
                <w:sz w:val="16"/>
                <w:szCs w:val="16"/>
              </w:rPr>
            </w:pPr>
            <w:r w:rsidRPr="00390B67">
              <w:rPr>
                <w:rFonts w:ascii="Arial" w:hAnsi="Arial" w:cs="Arial"/>
                <w:sz w:val="16"/>
                <w:szCs w:val="16"/>
              </w:rPr>
              <w:t>London Olympic c Park</w:t>
            </w:r>
          </w:p>
          <w:p w14:paraId="6A46997E" w14:textId="77777777" w:rsidR="002A5417" w:rsidRPr="00390B67" w:rsidRDefault="002A5417" w:rsidP="00285AA8">
            <w:pPr>
              <w:spacing w:line="240" w:lineRule="auto"/>
              <w:ind w:left="-108" w:right="-108"/>
              <w:jc w:val="left"/>
              <w:rPr>
                <w:rFonts w:ascii="Arial" w:hAnsi="Arial" w:cs="Arial"/>
                <w:i/>
                <w:sz w:val="16"/>
                <w:szCs w:val="16"/>
              </w:rPr>
            </w:pPr>
          </w:p>
          <w:p w14:paraId="317B5615" w14:textId="77777777" w:rsidR="002A5417" w:rsidRPr="00390B67" w:rsidRDefault="002A5417" w:rsidP="00285AA8">
            <w:pPr>
              <w:spacing w:line="240" w:lineRule="auto"/>
              <w:ind w:left="-108" w:right="-108"/>
              <w:jc w:val="left"/>
              <w:rPr>
                <w:rFonts w:ascii="Arial" w:hAnsi="Arial" w:cs="Arial"/>
                <w:sz w:val="16"/>
                <w:szCs w:val="16"/>
              </w:rPr>
            </w:pPr>
          </w:p>
          <w:p w14:paraId="63A23F44" w14:textId="77777777" w:rsidR="002A5417" w:rsidRPr="00390B67" w:rsidRDefault="002A5417" w:rsidP="00285AA8">
            <w:pPr>
              <w:spacing w:line="240" w:lineRule="auto"/>
              <w:ind w:left="113" w:right="-108"/>
              <w:jc w:val="left"/>
              <w:rPr>
                <w:rFonts w:ascii="Arial" w:hAnsi="Arial" w:cs="Arial"/>
                <w:sz w:val="16"/>
                <w:szCs w:val="16"/>
              </w:rPr>
            </w:pPr>
          </w:p>
          <w:p w14:paraId="16CD597A" w14:textId="6261F329" w:rsidR="002A5417" w:rsidRPr="00390B67" w:rsidRDefault="002A5417" w:rsidP="00285AA8">
            <w:pPr>
              <w:spacing w:line="240" w:lineRule="auto"/>
              <w:ind w:left="-108" w:right="-108"/>
              <w:jc w:val="left"/>
              <w:rPr>
                <w:rFonts w:ascii="Arial" w:hAnsi="Arial" w:cs="Arial"/>
                <w:sz w:val="16"/>
                <w:szCs w:val="16"/>
              </w:rPr>
            </w:pPr>
            <w:r w:rsidRPr="00390B67">
              <w:rPr>
                <w:rFonts w:ascii="Arial" w:hAnsi="Arial" w:cs="Arial"/>
                <w:i/>
                <w:sz w:val="16"/>
                <w:szCs w:val="16"/>
              </w:rPr>
              <w:t>London 2012</w:t>
            </w:r>
          </w:p>
        </w:tc>
        <w:tc>
          <w:tcPr>
            <w:tcW w:w="425" w:type="dxa"/>
            <w:tcBorders>
              <w:top w:val="single" w:sz="4" w:space="0" w:color="auto"/>
            </w:tcBorders>
            <w:textDirection w:val="btLr"/>
          </w:tcPr>
          <w:p w14:paraId="21BBB28F" w14:textId="77777777" w:rsidR="002A5417" w:rsidRPr="00390B67" w:rsidRDefault="002A5417" w:rsidP="004C2716">
            <w:pPr>
              <w:spacing w:line="240" w:lineRule="auto"/>
              <w:ind w:left="-108" w:right="-108" w:firstLine="0"/>
              <w:jc w:val="left"/>
              <w:rPr>
                <w:rFonts w:ascii="Arial" w:hAnsi="Arial" w:cs="Arial"/>
                <w:sz w:val="16"/>
                <w:szCs w:val="16"/>
              </w:rPr>
            </w:pPr>
            <w:r w:rsidRPr="00390B67">
              <w:rPr>
                <w:rFonts w:ascii="Arial" w:hAnsi="Arial" w:cs="Arial"/>
                <w:sz w:val="16"/>
                <w:szCs w:val="16"/>
              </w:rPr>
              <w:t>Aquatics centre</w:t>
            </w:r>
          </w:p>
          <w:p w14:paraId="5EEE4867" w14:textId="77777777" w:rsidR="002A5417" w:rsidRPr="00390B67" w:rsidRDefault="002A5417" w:rsidP="002A5417">
            <w:pPr>
              <w:spacing w:line="240" w:lineRule="auto"/>
              <w:ind w:left="113" w:right="-108" w:firstLine="0"/>
              <w:jc w:val="left"/>
              <w:rPr>
                <w:rFonts w:ascii="Arial" w:hAnsi="Arial" w:cs="Arial"/>
                <w:sz w:val="16"/>
                <w:szCs w:val="16"/>
              </w:rPr>
            </w:pPr>
          </w:p>
        </w:tc>
        <w:tc>
          <w:tcPr>
            <w:tcW w:w="1559" w:type="dxa"/>
            <w:tcBorders>
              <w:top w:val="single" w:sz="4" w:space="0" w:color="auto"/>
            </w:tcBorders>
          </w:tcPr>
          <w:p w14:paraId="4AD5369E" w14:textId="77777777" w:rsidR="002A5417" w:rsidRPr="00390B67" w:rsidRDefault="002A5417" w:rsidP="00BE714E">
            <w:pPr>
              <w:spacing w:line="240" w:lineRule="auto"/>
              <w:ind w:left="-108" w:right="-108" w:firstLine="49"/>
              <w:jc w:val="left"/>
              <w:rPr>
                <w:rFonts w:ascii="Arial" w:hAnsi="Arial" w:cs="Arial"/>
                <w:sz w:val="16"/>
                <w:szCs w:val="16"/>
              </w:rPr>
            </w:pPr>
            <w:r w:rsidRPr="00390B67">
              <w:rPr>
                <w:rFonts w:ascii="Arial" w:hAnsi="Arial" w:cs="Arial"/>
                <w:sz w:val="16"/>
                <w:szCs w:val="16"/>
              </w:rPr>
              <w:t>#</w:t>
            </w:r>
            <w:r>
              <w:rPr>
                <w:rFonts w:ascii="Arial" w:hAnsi="Arial" w:cs="Arial"/>
                <w:sz w:val="16"/>
                <w:szCs w:val="16"/>
              </w:rPr>
              <w:t>5,</w:t>
            </w:r>
            <w:r w:rsidRPr="00390B67">
              <w:rPr>
                <w:rFonts w:ascii="Arial" w:hAnsi="Arial" w:cs="Arial"/>
                <w:sz w:val="16"/>
                <w:szCs w:val="16"/>
              </w:rPr>
              <w:t xml:space="preserve"> Low goal congruence</w:t>
            </w:r>
          </w:p>
          <w:p w14:paraId="765C8243" w14:textId="709D3365" w:rsidR="002A5417" w:rsidRPr="00390B67" w:rsidRDefault="002A5417" w:rsidP="003B0342">
            <w:pPr>
              <w:spacing w:line="240" w:lineRule="auto"/>
              <w:ind w:left="-108" w:right="-108" w:firstLine="49"/>
              <w:jc w:val="left"/>
              <w:rPr>
                <w:rFonts w:ascii="Arial" w:hAnsi="Arial" w:cs="Arial"/>
                <w:sz w:val="16"/>
                <w:szCs w:val="16"/>
              </w:rPr>
            </w:pPr>
            <w:r w:rsidRPr="00390B67">
              <w:rPr>
                <w:rFonts w:ascii="Arial" w:hAnsi="Arial" w:cs="Arial"/>
                <w:i/>
                <w:sz w:val="16"/>
                <w:szCs w:val="16"/>
              </w:rPr>
              <w:t>Small vs. massive aesthetically sophisticated venue</w:t>
            </w:r>
          </w:p>
        </w:tc>
        <w:tc>
          <w:tcPr>
            <w:tcW w:w="1701" w:type="dxa"/>
            <w:tcBorders>
              <w:top w:val="single" w:sz="4" w:space="0" w:color="auto"/>
            </w:tcBorders>
          </w:tcPr>
          <w:p w14:paraId="59C9AE63" w14:textId="1F51EB0E" w:rsidR="002A5417" w:rsidRPr="00390B67" w:rsidRDefault="004C2716" w:rsidP="00BE714E">
            <w:pPr>
              <w:spacing w:line="240" w:lineRule="auto"/>
              <w:ind w:left="-108" w:right="-108" w:firstLine="0"/>
              <w:jc w:val="left"/>
              <w:rPr>
                <w:rFonts w:ascii="Arial" w:hAnsi="Arial" w:cs="Arial"/>
                <w:sz w:val="16"/>
                <w:szCs w:val="16"/>
              </w:rPr>
            </w:pPr>
            <w:r>
              <w:rPr>
                <w:rFonts w:ascii="Arial" w:hAnsi="Arial" w:cs="Arial"/>
                <w:sz w:val="16"/>
                <w:szCs w:val="16"/>
              </w:rPr>
              <w:t>Planning talks</w:t>
            </w:r>
          </w:p>
          <w:p w14:paraId="2934002E" w14:textId="77777777" w:rsidR="002A5417" w:rsidRPr="00390B67" w:rsidRDefault="002A5417" w:rsidP="00BE714E">
            <w:pPr>
              <w:spacing w:line="240" w:lineRule="auto"/>
              <w:ind w:left="-108" w:right="-108" w:firstLine="0"/>
              <w:jc w:val="left"/>
              <w:rPr>
                <w:rFonts w:ascii="Arial" w:hAnsi="Arial" w:cs="Arial"/>
                <w:sz w:val="16"/>
                <w:szCs w:val="16"/>
              </w:rPr>
            </w:pPr>
          </w:p>
          <w:p w14:paraId="55FE454A" w14:textId="24B34ACF" w:rsidR="002A5417" w:rsidRPr="00390B67" w:rsidRDefault="00F43B26" w:rsidP="00F43B26">
            <w:pPr>
              <w:spacing w:line="240" w:lineRule="auto"/>
              <w:ind w:left="-108" w:right="-108" w:firstLine="0"/>
              <w:jc w:val="left"/>
              <w:rPr>
                <w:rFonts w:ascii="Arial" w:hAnsi="Arial" w:cs="Arial"/>
                <w:sz w:val="16"/>
                <w:szCs w:val="16"/>
              </w:rPr>
            </w:pPr>
            <w:r>
              <w:rPr>
                <w:rFonts w:ascii="Arial" w:hAnsi="Arial" w:cs="Arial"/>
                <w:i/>
                <w:sz w:val="16"/>
                <w:szCs w:val="16"/>
              </w:rPr>
              <w:t>Long series of meetings between project participants</w:t>
            </w:r>
          </w:p>
        </w:tc>
        <w:tc>
          <w:tcPr>
            <w:tcW w:w="2835" w:type="dxa"/>
            <w:tcBorders>
              <w:top w:val="single" w:sz="4" w:space="0" w:color="auto"/>
            </w:tcBorders>
          </w:tcPr>
          <w:p w14:paraId="1BC0AB22" w14:textId="77777777" w:rsidR="002A5417" w:rsidRPr="00390B67" w:rsidRDefault="002A5417" w:rsidP="00BE714E">
            <w:pPr>
              <w:spacing w:line="240" w:lineRule="auto"/>
              <w:ind w:left="-108" w:right="-108" w:firstLine="0"/>
              <w:jc w:val="left"/>
              <w:rPr>
                <w:rFonts w:ascii="Arial" w:hAnsi="Arial" w:cs="Arial"/>
                <w:sz w:val="16"/>
                <w:szCs w:val="16"/>
              </w:rPr>
            </w:pPr>
            <w:r w:rsidRPr="00390B67">
              <w:rPr>
                <w:rFonts w:ascii="Arial" w:hAnsi="Arial" w:cs="Arial"/>
                <w:sz w:val="16"/>
                <w:szCs w:val="16"/>
              </w:rPr>
              <w:t>Mutual compromise</w:t>
            </w:r>
            <w:r>
              <w:rPr>
                <w:rFonts w:ascii="Arial" w:hAnsi="Arial" w:cs="Arial"/>
                <w:sz w:val="16"/>
                <w:szCs w:val="16"/>
              </w:rPr>
              <w:t xml:space="preserve"> </w:t>
            </w:r>
            <w:r w:rsidRPr="00390B67">
              <w:rPr>
                <w:rFonts w:ascii="Arial" w:hAnsi="Arial" w:cs="Arial"/>
                <w:sz w:val="16"/>
                <w:szCs w:val="16"/>
              </w:rPr>
              <w:t>( after 3 major design cycles)</w:t>
            </w:r>
          </w:p>
          <w:p w14:paraId="4971EFFF" w14:textId="77777777" w:rsidR="002A5417" w:rsidRPr="00390B67" w:rsidRDefault="002A5417" w:rsidP="00BE714E">
            <w:pPr>
              <w:spacing w:line="240" w:lineRule="auto"/>
              <w:ind w:left="-108" w:right="-108" w:firstLine="49"/>
              <w:jc w:val="left"/>
              <w:rPr>
                <w:rFonts w:ascii="Arial" w:hAnsi="Arial" w:cs="Arial"/>
                <w:sz w:val="16"/>
                <w:szCs w:val="16"/>
              </w:rPr>
            </w:pPr>
          </w:p>
          <w:p w14:paraId="16B518F4" w14:textId="3310EFC4" w:rsidR="002A5417" w:rsidRPr="00390B67" w:rsidRDefault="002A5417" w:rsidP="0059388E">
            <w:pPr>
              <w:spacing w:line="240" w:lineRule="auto"/>
              <w:ind w:left="-108" w:right="-108" w:firstLine="0"/>
              <w:jc w:val="left"/>
              <w:rPr>
                <w:rFonts w:ascii="Arial" w:hAnsi="Arial" w:cs="Arial"/>
                <w:sz w:val="16"/>
                <w:szCs w:val="16"/>
              </w:rPr>
            </w:pPr>
            <w:r w:rsidRPr="00390B67">
              <w:rPr>
                <w:rFonts w:ascii="Arial" w:hAnsi="Arial" w:cs="Arial"/>
                <w:i/>
                <w:sz w:val="16"/>
                <w:szCs w:val="16"/>
              </w:rPr>
              <w:t>Sophisticated roof stays, but venue shrinks to a third of its original size</w:t>
            </w:r>
          </w:p>
        </w:tc>
        <w:tc>
          <w:tcPr>
            <w:tcW w:w="1559" w:type="dxa"/>
            <w:tcBorders>
              <w:top w:val="single" w:sz="4" w:space="0" w:color="auto"/>
            </w:tcBorders>
          </w:tcPr>
          <w:p w14:paraId="2BCAFBC9" w14:textId="77777777" w:rsidR="002A5417" w:rsidRPr="00390B67" w:rsidRDefault="002A5417" w:rsidP="00BE714E">
            <w:pPr>
              <w:tabs>
                <w:tab w:val="left" w:pos="682"/>
              </w:tabs>
              <w:spacing w:line="240" w:lineRule="auto"/>
              <w:ind w:left="-107" w:right="-108" w:firstLine="44"/>
              <w:jc w:val="left"/>
              <w:rPr>
                <w:rFonts w:ascii="Arial" w:hAnsi="Arial" w:cs="Arial"/>
                <w:sz w:val="16"/>
                <w:szCs w:val="16"/>
              </w:rPr>
            </w:pPr>
            <w:r w:rsidRPr="00390B67">
              <w:rPr>
                <w:rFonts w:ascii="Arial" w:hAnsi="Arial" w:cs="Arial"/>
                <w:sz w:val="16"/>
                <w:szCs w:val="16"/>
              </w:rPr>
              <w:t>Yes</w:t>
            </w:r>
          </w:p>
          <w:p w14:paraId="252A0FBC" w14:textId="77777777" w:rsidR="002A5417" w:rsidRPr="00390B67" w:rsidRDefault="002A5417" w:rsidP="00BE714E">
            <w:pPr>
              <w:tabs>
                <w:tab w:val="left" w:pos="682"/>
              </w:tabs>
              <w:spacing w:line="240" w:lineRule="auto"/>
              <w:ind w:left="-107" w:right="-108" w:firstLine="44"/>
              <w:jc w:val="left"/>
              <w:rPr>
                <w:rFonts w:ascii="Arial" w:hAnsi="Arial" w:cs="Arial"/>
                <w:sz w:val="16"/>
                <w:szCs w:val="16"/>
              </w:rPr>
            </w:pPr>
          </w:p>
          <w:p w14:paraId="3C8AFFCA" w14:textId="59AA5E3C" w:rsidR="002A5417" w:rsidRPr="00390B67" w:rsidRDefault="002A5417" w:rsidP="003B0342">
            <w:pPr>
              <w:tabs>
                <w:tab w:val="left" w:pos="682"/>
              </w:tabs>
              <w:spacing w:line="240" w:lineRule="auto"/>
              <w:ind w:left="-107" w:right="-108" w:firstLine="44"/>
              <w:jc w:val="left"/>
              <w:rPr>
                <w:rFonts w:ascii="Arial" w:hAnsi="Arial" w:cs="Arial"/>
                <w:sz w:val="16"/>
                <w:szCs w:val="16"/>
              </w:rPr>
            </w:pPr>
            <w:r w:rsidRPr="00390B67">
              <w:rPr>
                <w:rFonts w:ascii="Arial" w:hAnsi="Arial" w:cs="Arial"/>
                <w:i/>
                <w:sz w:val="16"/>
                <w:szCs w:val="16"/>
              </w:rPr>
              <w:t xml:space="preserve">Temporary 15,000- seats </w:t>
            </w:r>
            <w:r>
              <w:rPr>
                <w:rFonts w:ascii="Arial" w:hAnsi="Arial" w:cs="Arial"/>
                <w:i/>
                <w:sz w:val="16"/>
                <w:szCs w:val="16"/>
              </w:rPr>
              <w:t xml:space="preserve">added </w:t>
            </w:r>
            <w:r w:rsidRPr="00390B67">
              <w:rPr>
                <w:rFonts w:ascii="Arial" w:hAnsi="Arial" w:cs="Arial"/>
                <w:i/>
                <w:sz w:val="16"/>
                <w:szCs w:val="16"/>
              </w:rPr>
              <w:t>just for the games</w:t>
            </w:r>
          </w:p>
        </w:tc>
        <w:tc>
          <w:tcPr>
            <w:tcW w:w="1984" w:type="dxa"/>
            <w:tcBorders>
              <w:top w:val="single" w:sz="4" w:space="0" w:color="auto"/>
            </w:tcBorders>
          </w:tcPr>
          <w:p w14:paraId="77EE13D0" w14:textId="77777777" w:rsidR="002A5417" w:rsidRPr="00390B67" w:rsidRDefault="002A5417"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Stable</w:t>
            </w:r>
          </w:p>
          <w:p w14:paraId="037B019C" w14:textId="77777777" w:rsidR="002A5417" w:rsidRPr="00390B67" w:rsidRDefault="002A5417" w:rsidP="00BE714E">
            <w:pPr>
              <w:spacing w:line="240" w:lineRule="auto"/>
              <w:ind w:left="-108" w:right="-108" w:firstLine="44"/>
              <w:jc w:val="left"/>
              <w:rPr>
                <w:rFonts w:ascii="Arial" w:hAnsi="Arial" w:cs="Arial"/>
                <w:sz w:val="16"/>
                <w:szCs w:val="16"/>
              </w:rPr>
            </w:pPr>
          </w:p>
          <w:p w14:paraId="3B83B63C" w14:textId="0D49AF0F" w:rsidR="002A5417" w:rsidRPr="00390B67" w:rsidRDefault="002A5417" w:rsidP="00F43B26">
            <w:pPr>
              <w:spacing w:line="240" w:lineRule="auto"/>
              <w:ind w:left="-108" w:right="-108" w:firstLine="44"/>
              <w:jc w:val="left"/>
              <w:rPr>
                <w:rFonts w:ascii="Arial" w:hAnsi="Arial" w:cs="Arial"/>
                <w:sz w:val="16"/>
                <w:szCs w:val="16"/>
              </w:rPr>
            </w:pPr>
            <w:r w:rsidRPr="00390B67">
              <w:rPr>
                <w:rFonts w:ascii="Arial" w:hAnsi="Arial" w:cs="Arial"/>
                <w:i/>
                <w:sz w:val="16"/>
                <w:szCs w:val="16"/>
              </w:rPr>
              <w:t xml:space="preserve">Dispute resolved during the first two years allotted for  </w:t>
            </w:r>
            <w:r w:rsidR="00F43B26">
              <w:rPr>
                <w:rFonts w:ascii="Arial" w:hAnsi="Arial" w:cs="Arial"/>
                <w:i/>
                <w:sz w:val="16"/>
                <w:szCs w:val="16"/>
              </w:rPr>
              <w:t>planning talks</w:t>
            </w:r>
          </w:p>
        </w:tc>
        <w:tc>
          <w:tcPr>
            <w:tcW w:w="2694" w:type="dxa"/>
            <w:tcBorders>
              <w:top w:val="single" w:sz="4" w:space="0" w:color="auto"/>
            </w:tcBorders>
          </w:tcPr>
          <w:p w14:paraId="1D9043CE" w14:textId="77777777" w:rsidR="002A5417" w:rsidRPr="00390B67" w:rsidRDefault="002A5417" w:rsidP="00BE714E">
            <w:pPr>
              <w:spacing w:line="240" w:lineRule="auto"/>
              <w:ind w:left="-108" w:right="-108" w:firstLine="44"/>
              <w:jc w:val="left"/>
              <w:rPr>
                <w:rFonts w:ascii="Arial" w:hAnsi="Arial" w:cs="Arial"/>
                <w:sz w:val="16"/>
                <w:szCs w:val="16"/>
              </w:rPr>
            </w:pPr>
            <w:r w:rsidRPr="00390B67">
              <w:rPr>
                <w:rFonts w:ascii="Arial" w:hAnsi="Arial" w:cs="Arial"/>
                <w:sz w:val="16"/>
                <w:szCs w:val="16"/>
              </w:rPr>
              <w:t>Relaxed</w:t>
            </w:r>
          </w:p>
          <w:p w14:paraId="4285FAFF" w14:textId="77777777" w:rsidR="002A5417" w:rsidRPr="00390B67" w:rsidRDefault="002A5417" w:rsidP="00BE714E">
            <w:pPr>
              <w:spacing w:line="240" w:lineRule="auto"/>
              <w:ind w:left="-108" w:right="-108" w:firstLine="44"/>
              <w:jc w:val="left"/>
              <w:rPr>
                <w:rFonts w:ascii="Arial" w:hAnsi="Arial" w:cs="Arial"/>
                <w:sz w:val="16"/>
                <w:szCs w:val="16"/>
              </w:rPr>
            </w:pPr>
          </w:p>
          <w:p w14:paraId="28FAD537" w14:textId="77777777" w:rsidR="002A5417" w:rsidRPr="00390B67" w:rsidRDefault="002A5417" w:rsidP="00BE714E">
            <w:pPr>
              <w:spacing w:line="240" w:lineRule="auto"/>
              <w:ind w:left="-108" w:right="-108" w:firstLine="44"/>
              <w:jc w:val="left"/>
              <w:rPr>
                <w:rFonts w:ascii="Arial" w:hAnsi="Arial" w:cs="Arial"/>
                <w:sz w:val="16"/>
                <w:szCs w:val="16"/>
              </w:rPr>
            </w:pPr>
            <w:r w:rsidRPr="00390B67">
              <w:rPr>
                <w:rFonts w:ascii="Arial" w:hAnsi="Arial" w:cs="Arial"/>
                <w:i/>
                <w:sz w:val="16"/>
                <w:szCs w:val="16"/>
              </w:rPr>
              <w:t>2004, ~£128m</w:t>
            </w:r>
          </w:p>
          <w:p w14:paraId="39D26AE2" w14:textId="77777777" w:rsidR="002A5417" w:rsidRPr="00390B67" w:rsidRDefault="002A5417" w:rsidP="00BE714E">
            <w:pPr>
              <w:spacing w:line="240" w:lineRule="auto"/>
              <w:ind w:left="-108" w:right="-108" w:firstLine="44"/>
              <w:jc w:val="left"/>
              <w:rPr>
                <w:rFonts w:ascii="Arial" w:hAnsi="Arial" w:cs="Arial"/>
                <w:i/>
                <w:sz w:val="16"/>
                <w:szCs w:val="16"/>
              </w:rPr>
            </w:pPr>
            <w:r w:rsidRPr="00390B67">
              <w:rPr>
                <w:rFonts w:ascii="Arial" w:hAnsi="Arial" w:cs="Arial"/>
                <w:i/>
                <w:sz w:val="16"/>
                <w:szCs w:val="16"/>
              </w:rPr>
              <w:t xml:space="preserve">2007, ~ £236m </w:t>
            </w:r>
          </w:p>
          <w:p w14:paraId="46F2EB12" w14:textId="585B3A04" w:rsidR="002A5417" w:rsidRPr="00390B67" w:rsidRDefault="002A5417" w:rsidP="003B0342">
            <w:pPr>
              <w:spacing w:line="240" w:lineRule="auto"/>
              <w:ind w:left="-108" w:right="-108" w:firstLine="44"/>
              <w:jc w:val="left"/>
              <w:rPr>
                <w:rFonts w:ascii="Arial" w:hAnsi="Arial" w:cs="Arial"/>
                <w:sz w:val="16"/>
                <w:szCs w:val="16"/>
              </w:rPr>
            </w:pPr>
            <w:r w:rsidRPr="00390B67">
              <w:rPr>
                <w:rFonts w:ascii="Arial" w:hAnsi="Arial" w:cs="Arial"/>
                <w:i/>
                <w:sz w:val="16"/>
                <w:szCs w:val="16"/>
              </w:rPr>
              <w:t xml:space="preserve">Final (2010): ~£262m </w:t>
            </w:r>
          </w:p>
        </w:tc>
      </w:tr>
      <w:tr w:rsidR="002A5417" w:rsidRPr="00390B67" w14:paraId="79DE7E45" w14:textId="77777777" w:rsidTr="004C2716">
        <w:trPr>
          <w:trHeight w:val="714"/>
        </w:trPr>
        <w:tc>
          <w:tcPr>
            <w:tcW w:w="335" w:type="dxa"/>
            <w:vMerge/>
            <w:textDirection w:val="btLr"/>
          </w:tcPr>
          <w:p w14:paraId="304F1586" w14:textId="7D15AB0C" w:rsidR="002A5417" w:rsidRPr="00390B67" w:rsidRDefault="002A5417" w:rsidP="00285AA8">
            <w:pPr>
              <w:spacing w:line="240" w:lineRule="auto"/>
              <w:ind w:left="-108" w:right="-108"/>
              <w:jc w:val="left"/>
              <w:rPr>
                <w:rFonts w:ascii="Arial" w:hAnsi="Arial" w:cs="Arial"/>
                <w:i/>
                <w:sz w:val="16"/>
                <w:szCs w:val="16"/>
              </w:rPr>
            </w:pPr>
          </w:p>
        </w:tc>
        <w:tc>
          <w:tcPr>
            <w:tcW w:w="425" w:type="dxa"/>
            <w:tcBorders>
              <w:top w:val="single" w:sz="4" w:space="0" w:color="auto"/>
            </w:tcBorders>
            <w:textDirection w:val="btLr"/>
          </w:tcPr>
          <w:p w14:paraId="64F98C85" w14:textId="77777777" w:rsidR="002A5417" w:rsidRPr="00390B67" w:rsidRDefault="002A5417" w:rsidP="00285AA8">
            <w:pPr>
              <w:spacing w:line="240" w:lineRule="auto"/>
              <w:ind w:left="113" w:right="-108" w:firstLine="0"/>
              <w:jc w:val="left"/>
              <w:rPr>
                <w:rFonts w:ascii="Arial" w:hAnsi="Arial" w:cs="Arial"/>
                <w:sz w:val="16"/>
                <w:szCs w:val="16"/>
              </w:rPr>
            </w:pPr>
            <w:r w:rsidRPr="00390B67">
              <w:rPr>
                <w:rFonts w:ascii="Arial" w:hAnsi="Arial" w:cs="Arial"/>
                <w:sz w:val="16"/>
                <w:szCs w:val="16"/>
              </w:rPr>
              <w:t>Stadium</w:t>
            </w:r>
          </w:p>
          <w:p w14:paraId="5490B829" w14:textId="77777777" w:rsidR="002A5417" w:rsidRPr="00390B67" w:rsidRDefault="002A5417" w:rsidP="00285AA8">
            <w:pPr>
              <w:spacing w:line="240" w:lineRule="auto"/>
              <w:ind w:left="-108" w:right="-108"/>
              <w:jc w:val="left"/>
              <w:rPr>
                <w:rFonts w:ascii="Arial" w:hAnsi="Arial" w:cs="Arial"/>
                <w:sz w:val="16"/>
                <w:szCs w:val="16"/>
              </w:rPr>
            </w:pPr>
          </w:p>
        </w:tc>
        <w:tc>
          <w:tcPr>
            <w:tcW w:w="1559" w:type="dxa"/>
            <w:tcBorders>
              <w:top w:val="single" w:sz="4" w:space="0" w:color="auto"/>
            </w:tcBorders>
          </w:tcPr>
          <w:p w14:paraId="4EF5E1AC" w14:textId="6E0DD8A5" w:rsidR="002A5417" w:rsidRPr="00390B67" w:rsidRDefault="002A5417" w:rsidP="003B0342">
            <w:pPr>
              <w:spacing w:line="240" w:lineRule="auto"/>
              <w:ind w:left="-108" w:right="-108" w:firstLine="49"/>
              <w:jc w:val="left"/>
              <w:rPr>
                <w:rFonts w:ascii="Arial" w:hAnsi="Arial" w:cs="Arial"/>
                <w:sz w:val="16"/>
                <w:szCs w:val="16"/>
              </w:rPr>
            </w:pPr>
            <w:r w:rsidRPr="00390B67">
              <w:rPr>
                <w:rFonts w:ascii="Arial" w:hAnsi="Arial" w:cs="Arial"/>
                <w:sz w:val="16"/>
                <w:szCs w:val="16"/>
              </w:rPr>
              <w:t>#</w:t>
            </w:r>
            <w:r>
              <w:rPr>
                <w:rFonts w:ascii="Arial" w:hAnsi="Arial" w:cs="Arial"/>
                <w:sz w:val="16"/>
                <w:szCs w:val="16"/>
              </w:rPr>
              <w:t>6</w:t>
            </w:r>
            <w:r w:rsidRPr="00390B67">
              <w:rPr>
                <w:rFonts w:ascii="Arial" w:hAnsi="Arial" w:cs="Arial"/>
                <w:sz w:val="16"/>
                <w:szCs w:val="16"/>
              </w:rPr>
              <w:t>, Low goal congruence</w:t>
            </w:r>
          </w:p>
          <w:p w14:paraId="49DF6916" w14:textId="77777777" w:rsidR="002A5417" w:rsidRPr="00390B67" w:rsidRDefault="002A5417" w:rsidP="003B0342">
            <w:pPr>
              <w:spacing w:line="240" w:lineRule="auto"/>
              <w:ind w:left="-108" w:right="-108" w:firstLine="49"/>
              <w:jc w:val="left"/>
              <w:rPr>
                <w:rFonts w:ascii="Arial" w:hAnsi="Arial" w:cs="Arial"/>
                <w:sz w:val="16"/>
                <w:szCs w:val="16"/>
              </w:rPr>
            </w:pPr>
          </w:p>
          <w:p w14:paraId="1ACF5686" w14:textId="77777777" w:rsidR="002A5417" w:rsidRPr="00390B67" w:rsidRDefault="002A5417" w:rsidP="0059388E">
            <w:pPr>
              <w:spacing w:line="240" w:lineRule="auto"/>
              <w:ind w:left="-108" w:right="-108" w:firstLine="0"/>
              <w:jc w:val="left"/>
              <w:rPr>
                <w:rFonts w:ascii="Arial" w:hAnsi="Arial" w:cs="Arial"/>
                <w:i/>
                <w:sz w:val="16"/>
                <w:szCs w:val="16"/>
              </w:rPr>
            </w:pPr>
            <w:r w:rsidRPr="00390B67">
              <w:rPr>
                <w:rFonts w:ascii="Arial" w:hAnsi="Arial" w:cs="Arial"/>
                <w:i/>
                <w:sz w:val="16"/>
                <w:szCs w:val="16"/>
              </w:rPr>
              <w:t>Football vs. athletics venue in legacy</w:t>
            </w:r>
          </w:p>
        </w:tc>
        <w:tc>
          <w:tcPr>
            <w:tcW w:w="1701" w:type="dxa"/>
            <w:tcBorders>
              <w:top w:val="single" w:sz="4" w:space="0" w:color="auto"/>
            </w:tcBorders>
          </w:tcPr>
          <w:p w14:paraId="1F370AE1" w14:textId="5ECD8D57" w:rsidR="002A5417" w:rsidRPr="00390B67" w:rsidRDefault="004C2716" w:rsidP="0059388E">
            <w:pPr>
              <w:spacing w:line="240" w:lineRule="auto"/>
              <w:ind w:left="-108" w:right="-108" w:firstLine="0"/>
              <w:jc w:val="left"/>
              <w:rPr>
                <w:rFonts w:ascii="Arial" w:hAnsi="Arial" w:cs="Arial"/>
                <w:sz w:val="16"/>
                <w:szCs w:val="16"/>
              </w:rPr>
            </w:pPr>
            <w:r>
              <w:rPr>
                <w:rFonts w:ascii="Arial" w:hAnsi="Arial" w:cs="Arial"/>
                <w:sz w:val="16"/>
                <w:szCs w:val="16"/>
              </w:rPr>
              <w:t>Planning talks</w:t>
            </w:r>
          </w:p>
          <w:p w14:paraId="1DA9160F" w14:textId="77777777" w:rsidR="002A5417" w:rsidRPr="00390B67" w:rsidRDefault="002A5417" w:rsidP="0059388E">
            <w:pPr>
              <w:spacing w:line="240" w:lineRule="auto"/>
              <w:ind w:left="-108" w:right="-108" w:firstLine="0"/>
              <w:jc w:val="left"/>
              <w:rPr>
                <w:rFonts w:ascii="Arial" w:hAnsi="Arial" w:cs="Arial"/>
                <w:i/>
                <w:sz w:val="16"/>
                <w:szCs w:val="16"/>
              </w:rPr>
            </w:pPr>
          </w:p>
          <w:p w14:paraId="31CF5728" w14:textId="0EB439F8" w:rsidR="002A5417" w:rsidRPr="00390B67" w:rsidRDefault="00F43B26" w:rsidP="0059388E">
            <w:pPr>
              <w:spacing w:line="240" w:lineRule="auto"/>
              <w:ind w:left="-108" w:right="-108" w:firstLine="0"/>
              <w:jc w:val="left"/>
              <w:rPr>
                <w:rFonts w:ascii="Arial" w:hAnsi="Arial" w:cs="Arial"/>
                <w:sz w:val="16"/>
                <w:szCs w:val="16"/>
              </w:rPr>
            </w:pPr>
            <w:r>
              <w:rPr>
                <w:rFonts w:ascii="Arial" w:hAnsi="Arial" w:cs="Arial"/>
                <w:i/>
                <w:sz w:val="16"/>
                <w:szCs w:val="16"/>
              </w:rPr>
              <w:t xml:space="preserve">Long series of meetings between project participants </w:t>
            </w:r>
          </w:p>
        </w:tc>
        <w:tc>
          <w:tcPr>
            <w:tcW w:w="2835" w:type="dxa"/>
            <w:tcBorders>
              <w:top w:val="single" w:sz="4" w:space="0" w:color="auto"/>
            </w:tcBorders>
          </w:tcPr>
          <w:p w14:paraId="7A4F6DAC" w14:textId="6A56E151" w:rsidR="002A5417" w:rsidRPr="00390B67" w:rsidRDefault="002A5417" w:rsidP="0059388E">
            <w:pPr>
              <w:spacing w:line="240" w:lineRule="auto"/>
              <w:ind w:left="-108" w:right="-108" w:firstLine="0"/>
              <w:jc w:val="left"/>
              <w:rPr>
                <w:rFonts w:ascii="Arial" w:hAnsi="Arial" w:cs="Arial"/>
                <w:sz w:val="16"/>
                <w:szCs w:val="16"/>
              </w:rPr>
            </w:pPr>
            <w:r w:rsidRPr="00390B67">
              <w:rPr>
                <w:rFonts w:ascii="Arial" w:hAnsi="Arial" w:cs="Arial"/>
                <w:sz w:val="16"/>
                <w:szCs w:val="16"/>
              </w:rPr>
              <w:t xml:space="preserve">Mutual compromise </w:t>
            </w:r>
            <w:r>
              <w:rPr>
                <w:rFonts w:ascii="Arial" w:hAnsi="Arial" w:cs="Arial"/>
                <w:sz w:val="16"/>
                <w:szCs w:val="16"/>
              </w:rPr>
              <w:t>(</w:t>
            </w:r>
            <w:r w:rsidRPr="00390B67">
              <w:rPr>
                <w:rFonts w:ascii="Arial" w:hAnsi="Arial" w:cs="Arial"/>
                <w:sz w:val="16"/>
                <w:szCs w:val="16"/>
              </w:rPr>
              <w:t>after 4 major design cycles</w:t>
            </w:r>
            <w:r>
              <w:rPr>
                <w:rFonts w:ascii="Arial" w:hAnsi="Arial" w:cs="Arial"/>
                <w:sz w:val="16"/>
                <w:szCs w:val="16"/>
              </w:rPr>
              <w:t>)</w:t>
            </w:r>
          </w:p>
          <w:p w14:paraId="542F5F03" w14:textId="77777777" w:rsidR="002A5417" w:rsidRPr="00390B67" w:rsidRDefault="002A5417" w:rsidP="003B0342">
            <w:pPr>
              <w:spacing w:line="240" w:lineRule="auto"/>
              <w:ind w:left="-108" w:right="-108" w:firstLine="49"/>
              <w:jc w:val="left"/>
              <w:rPr>
                <w:rFonts w:ascii="Arial" w:hAnsi="Arial" w:cs="Arial"/>
                <w:sz w:val="16"/>
                <w:szCs w:val="16"/>
              </w:rPr>
            </w:pPr>
            <w:r w:rsidRPr="00390B67">
              <w:rPr>
                <w:rFonts w:ascii="Arial" w:hAnsi="Arial" w:cs="Arial"/>
                <w:sz w:val="16"/>
                <w:szCs w:val="16"/>
              </w:rPr>
              <w:t xml:space="preserve"> </w:t>
            </w:r>
          </w:p>
          <w:p w14:paraId="385CD5ED" w14:textId="33308F71" w:rsidR="002A5417" w:rsidRPr="00390B67" w:rsidRDefault="002A5417" w:rsidP="003B0342">
            <w:pPr>
              <w:spacing w:line="240" w:lineRule="auto"/>
              <w:ind w:left="-108" w:right="-108" w:firstLine="49"/>
              <w:jc w:val="left"/>
              <w:rPr>
                <w:rFonts w:ascii="Arial" w:hAnsi="Arial" w:cs="Arial"/>
                <w:i/>
                <w:sz w:val="16"/>
                <w:szCs w:val="16"/>
              </w:rPr>
            </w:pPr>
            <w:r w:rsidRPr="00390B67">
              <w:rPr>
                <w:rFonts w:ascii="Arial" w:hAnsi="Arial" w:cs="Arial"/>
                <w:i/>
                <w:sz w:val="16"/>
                <w:szCs w:val="16"/>
              </w:rPr>
              <w:t xml:space="preserve">2007, </w:t>
            </w:r>
            <w:r>
              <w:rPr>
                <w:rFonts w:ascii="Arial" w:hAnsi="Arial" w:cs="Arial"/>
                <w:i/>
                <w:sz w:val="16"/>
                <w:szCs w:val="16"/>
              </w:rPr>
              <w:t>potentially</w:t>
            </w:r>
            <w:r w:rsidRPr="00390B67">
              <w:rPr>
                <w:rFonts w:ascii="Arial" w:hAnsi="Arial" w:cs="Arial"/>
                <w:i/>
                <w:sz w:val="16"/>
                <w:szCs w:val="16"/>
              </w:rPr>
              <w:t xml:space="preserve"> demountable </w:t>
            </w:r>
            <w:r>
              <w:rPr>
                <w:rFonts w:ascii="Arial" w:hAnsi="Arial" w:cs="Arial"/>
                <w:i/>
                <w:sz w:val="16"/>
                <w:szCs w:val="16"/>
              </w:rPr>
              <w:t>venue</w:t>
            </w:r>
          </w:p>
          <w:p w14:paraId="5C87A4C9" w14:textId="77777777" w:rsidR="002A5417" w:rsidRPr="00390B67" w:rsidRDefault="002A5417" w:rsidP="003B0342">
            <w:pPr>
              <w:spacing w:line="240" w:lineRule="auto"/>
              <w:ind w:left="-108" w:right="-108" w:firstLine="49"/>
              <w:jc w:val="left"/>
              <w:rPr>
                <w:rFonts w:ascii="Arial" w:hAnsi="Arial" w:cs="Arial"/>
                <w:sz w:val="16"/>
                <w:szCs w:val="16"/>
              </w:rPr>
            </w:pPr>
            <w:r w:rsidRPr="00390B67">
              <w:rPr>
                <w:rFonts w:ascii="Arial" w:hAnsi="Arial" w:cs="Arial"/>
                <w:i/>
                <w:sz w:val="16"/>
                <w:szCs w:val="16"/>
              </w:rPr>
              <w:t>2013, dual-use venue</w:t>
            </w:r>
          </w:p>
        </w:tc>
        <w:tc>
          <w:tcPr>
            <w:tcW w:w="1559" w:type="dxa"/>
            <w:tcBorders>
              <w:top w:val="single" w:sz="4" w:space="0" w:color="auto"/>
            </w:tcBorders>
          </w:tcPr>
          <w:p w14:paraId="5AC99BFE" w14:textId="77777777" w:rsidR="002A5417" w:rsidRPr="00390B67" w:rsidRDefault="002A5417" w:rsidP="003B0342">
            <w:pPr>
              <w:tabs>
                <w:tab w:val="left" w:pos="682"/>
              </w:tabs>
              <w:spacing w:line="240" w:lineRule="auto"/>
              <w:ind w:left="-107" w:right="-108" w:firstLine="44"/>
              <w:jc w:val="left"/>
              <w:rPr>
                <w:rFonts w:ascii="Arial" w:hAnsi="Arial" w:cs="Arial"/>
                <w:sz w:val="16"/>
                <w:szCs w:val="16"/>
              </w:rPr>
            </w:pPr>
            <w:r w:rsidRPr="00390B67">
              <w:rPr>
                <w:rFonts w:ascii="Arial" w:hAnsi="Arial" w:cs="Arial"/>
                <w:sz w:val="16"/>
                <w:szCs w:val="16"/>
              </w:rPr>
              <w:t xml:space="preserve">Yes </w:t>
            </w:r>
          </w:p>
          <w:p w14:paraId="03724B79" w14:textId="77777777" w:rsidR="002A5417" w:rsidRPr="00390B67" w:rsidRDefault="002A5417" w:rsidP="003B0342">
            <w:pPr>
              <w:tabs>
                <w:tab w:val="left" w:pos="682"/>
              </w:tabs>
              <w:spacing w:line="240" w:lineRule="auto"/>
              <w:ind w:left="-107" w:right="-108" w:firstLine="44"/>
              <w:jc w:val="left"/>
              <w:rPr>
                <w:rFonts w:ascii="Arial" w:hAnsi="Arial" w:cs="Arial"/>
                <w:sz w:val="16"/>
                <w:szCs w:val="16"/>
              </w:rPr>
            </w:pPr>
          </w:p>
          <w:p w14:paraId="52C61F85" w14:textId="77777777" w:rsidR="002A5417" w:rsidRPr="00390B67" w:rsidRDefault="002A5417" w:rsidP="003B0342">
            <w:pPr>
              <w:tabs>
                <w:tab w:val="left" w:pos="682"/>
              </w:tabs>
              <w:spacing w:line="240" w:lineRule="auto"/>
              <w:ind w:left="-107" w:right="-108" w:firstLine="0"/>
              <w:jc w:val="left"/>
              <w:rPr>
                <w:rFonts w:ascii="Arial" w:hAnsi="Arial" w:cs="Arial"/>
                <w:i/>
                <w:sz w:val="16"/>
                <w:szCs w:val="16"/>
              </w:rPr>
            </w:pPr>
            <w:r w:rsidRPr="00390B67">
              <w:rPr>
                <w:rFonts w:ascii="Arial" w:hAnsi="Arial" w:cs="Arial"/>
                <w:i/>
                <w:sz w:val="16"/>
                <w:szCs w:val="16"/>
              </w:rPr>
              <w:t>Retractable seating added in 2013</w:t>
            </w:r>
          </w:p>
        </w:tc>
        <w:tc>
          <w:tcPr>
            <w:tcW w:w="1984" w:type="dxa"/>
            <w:tcBorders>
              <w:top w:val="single" w:sz="4" w:space="0" w:color="auto"/>
            </w:tcBorders>
          </w:tcPr>
          <w:p w14:paraId="15B424DC" w14:textId="77777777" w:rsidR="002A5417" w:rsidRPr="00390B67" w:rsidRDefault="002A5417" w:rsidP="003B0342">
            <w:pPr>
              <w:spacing w:line="240" w:lineRule="auto"/>
              <w:ind w:left="-108" w:right="-108" w:firstLine="44"/>
              <w:jc w:val="left"/>
              <w:rPr>
                <w:rFonts w:ascii="Arial" w:hAnsi="Arial" w:cs="Arial"/>
                <w:sz w:val="16"/>
                <w:szCs w:val="16"/>
              </w:rPr>
            </w:pPr>
            <w:r w:rsidRPr="00390B67">
              <w:rPr>
                <w:rFonts w:ascii="Arial" w:hAnsi="Arial" w:cs="Arial"/>
                <w:sz w:val="16"/>
                <w:szCs w:val="16"/>
              </w:rPr>
              <w:t>Relaxed</w:t>
            </w:r>
          </w:p>
          <w:p w14:paraId="3AF6C2D8" w14:textId="77777777" w:rsidR="002A5417" w:rsidRPr="00390B67" w:rsidRDefault="002A5417" w:rsidP="003B0342">
            <w:pPr>
              <w:spacing w:line="240" w:lineRule="auto"/>
              <w:ind w:left="-108" w:right="-108" w:firstLine="44"/>
              <w:jc w:val="left"/>
              <w:rPr>
                <w:rFonts w:ascii="Arial" w:hAnsi="Arial" w:cs="Arial"/>
                <w:i/>
                <w:sz w:val="16"/>
                <w:szCs w:val="16"/>
              </w:rPr>
            </w:pPr>
          </w:p>
          <w:p w14:paraId="68A028EE" w14:textId="7DF08538" w:rsidR="002A5417" w:rsidRPr="00390B67" w:rsidRDefault="002A5417" w:rsidP="009F1BFC">
            <w:pPr>
              <w:spacing w:line="240" w:lineRule="auto"/>
              <w:ind w:left="-108" w:right="-108" w:firstLine="44"/>
              <w:jc w:val="left"/>
              <w:rPr>
                <w:rFonts w:ascii="Arial" w:hAnsi="Arial" w:cs="Arial"/>
                <w:sz w:val="16"/>
                <w:szCs w:val="16"/>
              </w:rPr>
            </w:pPr>
            <w:r w:rsidRPr="00390B67">
              <w:rPr>
                <w:rFonts w:ascii="Arial" w:hAnsi="Arial" w:cs="Arial"/>
                <w:i/>
                <w:sz w:val="16"/>
                <w:szCs w:val="16"/>
              </w:rPr>
              <w:t xml:space="preserve">Goal dispute resolved </w:t>
            </w:r>
            <w:r>
              <w:rPr>
                <w:rFonts w:ascii="Arial" w:hAnsi="Arial" w:cs="Arial"/>
                <w:i/>
                <w:sz w:val="16"/>
                <w:szCs w:val="16"/>
              </w:rPr>
              <w:t xml:space="preserve">after 6 years of talks in </w:t>
            </w:r>
            <w:r w:rsidRPr="00390B67">
              <w:rPr>
                <w:rFonts w:ascii="Arial" w:hAnsi="Arial" w:cs="Arial"/>
                <w:i/>
                <w:sz w:val="16"/>
                <w:szCs w:val="16"/>
              </w:rPr>
              <w:t>2013</w:t>
            </w:r>
          </w:p>
        </w:tc>
        <w:tc>
          <w:tcPr>
            <w:tcW w:w="2694" w:type="dxa"/>
            <w:tcBorders>
              <w:top w:val="single" w:sz="4" w:space="0" w:color="auto"/>
            </w:tcBorders>
          </w:tcPr>
          <w:p w14:paraId="634F11EB" w14:textId="77777777" w:rsidR="002A5417" w:rsidRPr="00390B67" w:rsidRDefault="002A5417" w:rsidP="003B0342">
            <w:pPr>
              <w:spacing w:line="240" w:lineRule="auto"/>
              <w:ind w:left="-108" w:right="-108" w:firstLine="44"/>
              <w:jc w:val="left"/>
              <w:rPr>
                <w:rFonts w:ascii="Arial" w:hAnsi="Arial" w:cs="Arial"/>
                <w:sz w:val="16"/>
                <w:szCs w:val="16"/>
              </w:rPr>
            </w:pPr>
            <w:r w:rsidRPr="00390B67">
              <w:rPr>
                <w:rFonts w:ascii="Arial" w:hAnsi="Arial" w:cs="Arial"/>
                <w:sz w:val="16"/>
                <w:szCs w:val="16"/>
              </w:rPr>
              <w:t>Relaxed</w:t>
            </w:r>
          </w:p>
          <w:p w14:paraId="6B6F4DF1" w14:textId="77777777" w:rsidR="002A5417" w:rsidRPr="00390B67" w:rsidRDefault="002A5417" w:rsidP="003B0342">
            <w:pPr>
              <w:spacing w:line="240" w:lineRule="auto"/>
              <w:ind w:left="-108" w:right="-108" w:firstLine="44"/>
              <w:jc w:val="left"/>
              <w:rPr>
                <w:rFonts w:ascii="Arial" w:hAnsi="Arial" w:cs="Arial"/>
                <w:sz w:val="16"/>
                <w:szCs w:val="16"/>
              </w:rPr>
            </w:pPr>
          </w:p>
          <w:p w14:paraId="280E1422" w14:textId="77777777" w:rsidR="002A5417" w:rsidRPr="00390B67" w:rsidRDefault="002A5417" w:rsidP="003B0342">
            <w:pPr>
              <w:spacing w:line="240" w:lineRule="auto"/>
              <w:ind w:left="-108" w:right="-108" w:firstLine="44"/>
              <w:jc w:val="left"/>
              <w:rPr>
                <w:rFonts w:ascii="Arial" w:hAnsi="Arial" w:cs="Arial"/>
                <w:i/>
                <w:sz w:val="16"/>
                <w:szCs w:val="16"/>
              </w:rPr>
            </w:pPr>
            <w:r w:rsidRPr="00390B67">
              <w:rPr>
                <w:rFonts w:ascii="Arial" w:hAnsi="Arial" w:cs="Arial"/>
                <w:i/>
                <w:sz w:val="16"/>
                <w:szCs w:val="16"/>
              </w:rPr>
              <w:t xml:space="preserve">2004,~ £468m </w:t>
            </w:r>
          </w:p>
          <w:p w14:paraId="3F272050" w14:textId="77777777" w:rsidR="002A5417" w:rsidRPr="00390B67" w:rsidRDefault="002A5417" w:rsidP="003B0342">
            <w:pPr>
              <w:spacing w:line="240" w:lineRule="auto"/>
              <w:ind w:left="-108" w:right="-108" w:firstLine="44"/>
              <w:jc w:val="left"/>
              <w:rPr>
                <w:rFonts w:ascii="Arial" w:hAnsi="Arial" w:cs="Arial"/>
                <w:i/>
                <w:sz w:val="16"/>
                <w:szCs w:val="16"/>
              </w:rPr>
            </w:pPr>
            <w:r w:rsidRPr="00390B67">
              <w:rPr>
                <w:rFonts w:ascii="Arial" w:hAnsi="Arial" w:cs="Arial"/>
                <w:i/>
                <w:sz w:val="16"/>
                <w:szCs w:val="16"/>
              </w:rPr>
              <w:t xml:space="preserve">2008, ~£541m </w:t>
            </w:r>
          </w:p>
          <w:p w14:paraId="5B0F6D3C" w14:textId="77777777" w:rsidR="002A5417" w:rsidRPr="00390B67" w:rsidRDefault="002A5417" w:rsidP="003B0342">
            <w:pPr>
              <w:spacing w:line="240" w:lineRule="auto"/>
              <w:ind w:left="-108" w:right="-108" w:firstLine="44"/>
              <w:jc w:val="left"/>
              <w:rPr>
                <w:rFonts w:ascii="Arial" w:hAnsi="Arial" w:cs="Arial"/>
                <w:i/>
                <w:sz w:val="16"/>
                <w:szCs w:val="16"/>
              </w:rPr>
            </w:pPr>
            <w:r w:rsidRPr="00390B67">
              <w:rPr>
                <w:rFonts w:ascii="Arial" w:hAnsi="Arial" w:cs="Arial"/>
                <w:i/>
                <w:sz w:val="16"/>
                <w:szCs w:val="16"/>
              </w:rPr>
              <w:t>Final (2015): ~£706m</w:t>
            </w:r>
          </w:p>
        </w:tc>
      </w:tr>
    </w:tbl>
    <w:p w14:paraId="3C90DE7C" w14:textId="77777777" w:rsidR="004842C6" w:rsidRPr="00390B67" w:rsidRDefault="004842C6" w:rsidP="004842C6">
      <w:pPr>
        <w:spacing w:line="240" w:lineRule="auto"/>
        <w:ind w:firstLine="0"/>
        <w:sectPr w:rsidR="004842C6" w:rsidRPr="00390B67" w:rsidSect="00E715D9">
          <w:pgSz w:w="16838" w:h="11906" w:orient="landscape"/>
          <w:pgMar w:top="1418" w:right="1440" w:bottom="1418" w:left="1440" w:header="709" w:footer="709" w:gutter="0"/>
          <w:cols w:space="708"/>
          <w:docGrid w:linePitch="360"/>
        </w:sectPr>
      </w:pPr>
    </w:p>
    <w:p w14:paraId="5D8DF6E3" w14:textId="13B935BF" w:rsidR="005A0264" w:rsidRPr="00390B67" w:rsidRDefault="005A0264" w:rsidP="005A0264">
      <w:pPr>
        <w:spacing w:line="240" w:lineRule="auto"/>
        <w:ind w:firstLine="0"/>
        <w:jc w:val="left"/>
        <w:rPr>
          <w:rStyle w:val="SubtleReference"/>
          <w:b/>
          <w:sz w:val="24"/>
          <w:szCs w:val="24"/>
        </w:rPr>
      </w:pPr>
      <w:r w:rsidRPr="00390B67">
        <w:rPr>
          <w:rStyle w:val="SubtleReference"/>
          <w:b/>
          <w:sz w:val="24"/>
          <w:szCs w:val="24"/>
        </w:rPr>
        <w:lastRenderedPageBreak/>
        <w:t xml:space="preserve">Figure 2- </w:t>
      </w:r>
      <w:r w:rsidR="00D15F8B">
        <w:rPr>
          <w:rStyle w:val="SubtleReference"/>
          <w:b/>
          <w:sz w:val="24"/>
          <w:szCs w:val="24"/>
        </w:rPr>
        <w:t>E</w:t>
      </w:r>
      <w:r w:rsidRPr="00390B67">
        <w:rPr>
          <w:rStyle w:val="SubtleReference"/>
          <w:b/>
          <w:sz w:val="24"/>
          <w:szCs w:val="24"/>
        </w:rPr>
        <w:t xml:space="preserve">xcerpts of the </w:t>
      </w:r>
      <w:r w:rsidR="00F43B26" w:rsidRPr="00390B67">
        <w:rPr>
          <w:rStyle w:val="SubtleReference"/>
          <w:b/>
          <w:sz w:val="24"/>
          <w:szCs w:val="24"/>
        </w:rPr>
        <w:t>Design Structure</w:t>
      </w:r>
      <w:r w:rsidR="00F43B26">
        <w:rPr>
          <w:rStyle w:val="SubtleReference"/>
          <w:b/>
          <w:sz w:val="24"/>
          <w:szCs w:val="24"/>
        </w:rPr>
        <w:t xml:space="preserve"> Matrices of the</w:t>
      </w:r>
      <w:r w:rsidR="00F43B26" w:rsidRPr="00390B67">
        <w:rPr>
          <w:rStyle w:val="SubtleReference"/>
          <w:b/>
          <w:sz w:val="24"/>
          <w:szCs w:val="24"/>
        </w:rPr>
        <w:t xml:space="preserve"> </w:t>
      </w:r>
      <w:r w:rsidR="00F43B26">
        <w:rPr>
          <w:rStyle w:val="SubtleReference"/>
          <w:b/>
          <w:sz w:val="24"/>
          <w:szCs w:val="24"/>
        </w:rPr>
        <w:t xml:space="preserve">Planning Problem </w:t>
      </w:r>
      <w:r w:rsidRPr="00390B67">
        <w:rPr>
          <w:rStyle w:val="SubtleReference"/>
          <w:b/>
          <w:sz w:val="24"/>
          <w:szCs w:val="24"/>
        </w:rPr>
        <w:t xml:space="preserve">and </w:t>
      </w:r>
      <w:r w:rsidR="00F43B26">
        <w:rPr>
          <w:rStyle w:val="SubtleReference"/>
          <w:b/>
          <w:sz w:val="24"/>
          <w:szCs w:val="24"/>
        </w:rPr>
        <w:t xml:space="preserve">Corresponding </w:t>
      </w:r>
      <w:r w:rsidRPr="00390B67">
        <w:rPr>
          <w:rStyle w:val="SubtleReference"/>
          <w:b/>
          <w:sz w:val="24"/>
          <w:szCs w:val="24"/>
        </w:rPr>
        <w:t xml:space="preserve">Organizational Matrices </w:t>
      </w:r>
    </w:p>
    <w:p w14:paraId="17AA732C" w14:textId="77777777" w:rsidR="00B33E51" w:rsidRDefault="00B33E51" w:rsidP="00B33E51">
      <w:pPr>
        <w:spacing w:line="240" w:lineRule="auto"/>
        <w:ind w:firstLine="0"/>
        <w:jc w:val="left"/>
        <w:rPr>
          <w:noProof/>
        </w:rPr>
      </w:pPr>
      <w:r>
        <w:rPr>
          <w:noProof/>
        </w:rPr>
        <w:drawing>
          <wp:inline distT="0" distB="0" distL="0" distR="0" wp14:anchorId="186C8B7B" wp14:editId="1337F806">
            <wp:extent cx="4068176" cy="28003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73742" cy="2804181"/>
                    </a:xfrm>
                    <a:prstGeom prst="rect">
                      <a:avLst/>
                    </a:prstGeom>
                  </pic:spPr>
                </pic:pic>
              </a:graphicData>
            </a:graphic>
          </wp:inline>
        </w:drawing>
      </w:r>
      <w:r w:rsidDel="00B33E51">
        <w:rPr>
          <w:noProof/>
        </w:rPr>
        <w:t xml:space="preserve"> </w:t>
      </w:r>
      <w:r>
        <w:rPr>
          <w:noProof/>
        </w:rPr>
        <w:drawing>
          <wp:inline distT="0" distB="0" distL="0" distR="0" wp14:anchorId="7C84E5D6" wp14:editId="6DE11D49">
            <wp:extent cx="3886200" cy="225781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82767" cy="2255823"/>
                    </a:xfrm>
                    <a:prstGeom prst="rect">
                      <a:avLst/>
                    </a:prstGeom>
                  </pic:spPr>
                </pic:pic>
              </a:graphicData>
            </a:graphic>
          </wp:inline>
        </w:drawing>
      </w:r>
      <w:r w:rsidDel="00B33E51">
        <w:rPr>
          <w:noProof/>
        </w:rPr>
        <w:t xml:space="preserve"> </w:t>
      </w:r>
    </w:p>
    <w:p w14:paraId="389BF520" w14:textId="434FAE3D" w:rsidR="005A0264" w:rsidRPr="00390B67" w:rsidRDefault="00B33E51" w:rsidP="00B33E51">
      <w:pPr>
        <w:spacing w:line="240" w:lineRule="auto"/>
        <w:ind w:firstLine="0"/>
        <w:jc w:val="left"/>
        <w:rPr>
          <w:rStyle w:val="SubtleReference"/>
          <w:sz w:val="24"/>
          <w:szCs w:val="24"/>
        </w:rPr>
        <w:sectPr w:rsidR="005A0264" w:rsidRPr="00390B67" w:rsidSect="005A0264">
          <w:pgSz w:w="16838" w:h="11906" w:orient="landscape"/>
          <w:pgMar w:top="1418" w:right="1440" w:bottom="1418" w:left="1440" w:header="709" w:footer="709" w:gutter="0"/>
          <w:cols w:space="708"/>
          <w:docGrid w:linePitch="360"/>
        </w:sectPr>
      </w:pPr>
      <w:r>
        <w:rPr>
          <w:noProof/>
        </w:rPr>
        <w:drawing>
          <wp:inline distT="0" distB="0" distL="0" distR="0" wp14:anchorId="4567C97A" wp14:editId="06BF7A1D">
            <wp:extent cx="3990975" cy="26678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90975" cy="2667898"/>
                    </a:xfrm>
                    <a:prstGeom prst="rect">
                      <a:avLst/>
                    </a:prstGeom>
                  </pic:spPr>
                </pic:pic>
              </a:graphicData>
            </a:graphic>
          </wp:inline>
        </w:drawing>
      </w:r>
      <w:r w:rsidDel="00B33E51">
        <w:rPr>
          <w:noProof/>
        </w:rPr>
        <w:t xml:space="preserve"> </w:t>
      </w:r>
      <w:r>
        <w:rPr>
          <w:noProof/>
        </w:rPr>
        <w:drawing>
          <wp:inline distT="0" distB="0" distL="0" distR="0" wp14:anchorId="5E354A7F" wp14:editId="18A119EB">
            <wp:extent cx="4028741" cy="2647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28741" cy="2647950"/>
                    </a:xfrm>
                    <a:prstGeom prst="rect">
                      <a:avLst/>
                    </a:prstGeom>
                  </pic:spPr>
                </pic:pic>
              </a:graphicData>
            </a:graphic>
          </wp:inline>
        </w:drawing>
      </w:r>
      <w:r w:rsidDel="00B33E51">
        <w:rPr>
          <w:noProof/>
        </w:rPr>
        <w:t xml:space="preserve"> </w:t>
      </w:r>
    </w:p>
    <w:p w14:paraId="530E2B1A" w14:textId="091886E8" w:rsidR="005A0264" w:rsidRPr="00390B67" w:rsidRDefault="005A0264" w:rsidP="004C2716">
      <w:pPr>
        <w:pStyle w:val="Heading2"/>
        <w:spacing w:line="240" w:lineRule="auto"/>
      </w:pPr>
      <w:r w:rsidRPr="00390B67">
        <w:lastRenderedPageBreak/>
        <w:t xml:space="preserve">Figure 3- Contingent </w:t>
      </w:r>
      <w:r w:rsidR="00AE6333">
        <w:t xml:space="preserve">Framework on Project Organization Design-Performance Logic </w:t>
      </w:r>
    </w:p>
    <w:tbl>
      <w:tblPr>
        <w:tblStyle w:val="TableGrid"/>
        <w:tblW w:w="8647" w:type="dxa"/>
        <w:tblInd w:w="108" w:type="dxa"/>
        <w:tblLook w:val="04A0" w:firstRow="1" w:lastRow="0" w:firstColumn="1" w:lastColumn="0" w:noHBand="0" w:noVBand="1"/>
      </w:tblPr>
      <w:tblGrid>
        <w:gridCol w:w="1985"/>
        <w:gridCol w:w="3260"/>
        <w:gridCol w:w="3402"/>
      </w:tblGrid>
      <w:tr w:rsidR="005A0264" w:rsidRPr="00390B67" w14:paraId="55611527" w14:textId="77777777" w:rsidTr="009F0D22">
        <w:tc>
          <w:tcPr>
            <w:tcW w:w="1985" w:type="dxa"/>
            <w:vMerge w:val="restart"/>
            <w:tcBorders>
              <w:top w:val="single" w:sz="4" w:space="0" w:color="auto"/>
              <w:left w:val="single" w:sz="4" w:space="0" w:color="auto"/>
              <w:right w:val="single" w:sz="4" w:space="0" w:color="auto"/>
            </w:tcBorders>
          </w:tcPr>
          <w:p w14:paraId="61985358" w14:textId="5FEA289E" w:rsidR="005A0264" w:rsidRPr="007914A6" w:rsidRDefault="002A5417" w:rsidP="002A5417">
            <w:pPr>
              <w:spacing w:line="240" w:lineRule="auto"/>
              <w:ind w:right="-108" w:firstLine="0"/>
              <w:jc w:val="left"/>
              <w:rPr>
                <w:b/>
                <w:sz w:val="22"/>
              </w:rPr>
            </w:pPr>
            <w:r>
              <w:rPr>
                <w:b/>
                <w:sz w:val="22"/>
              </w:rPr>
              <w:t xml:space="preserve">Internal </w:t>
            </w:r>
            <w:r w:rsidR="005A0264" w:rsidRPr="007914A6">
              <w:rPr>
                <w:b/>
                <w:sz w:val="22"/>
              </w:rPr>
              <w:t xml:space="preserve">Slack for </w:t>
            </w:r>
            <w:r>
              <w:rPr>
                <w:b/>
                <w:sz w:val="22"/>
              </w:rPr>
              <w:t>R</w:t>
            </w:r>
            <w:r w:rsidR="000E4CEE">
              <w:rPr>
                <w:b/>
                <w:sz w:val="22"/>
              </w:rPr>
              <w:t xml:space="preserve">esolving </w:t>
            </w:r>
            <w:r>
              <w:rPr>
                <w:b/>
                <w:sz w:val="22"/>
              </w:rPr>
              <w:t>D</w:t>
            </w:r>
            <w:r w:rsidR="000E4CEE">
              <w:rPr>
                <w:b/>
                <w:sz w:val="22"/>
              </w:rPr>
              <w:t>isputes</w:t>
            </w:r>
          </w:p>
        </w:tc>
        <w:tc>
          <w:tcPr>
            <w:tcW w:w="6662" w:type="dxa"/>
            <w:gridSpan w:val="2"/>
            <w:tcBorders>
              <w:left w:val="single" w:sz="4" w:space="0" w:color="auto"/>
            </w:tcBorders>
          </w:tcPr>
          <w:p w14:paraId="2BC23B13" w14:textId="6C6CCA4F" w:rsidR="005A0264" w:rsidRPr="007914A6" w:rsidRDefault="000E6039" w:rsidP="002A5417">
            <w:pPr>
              <w:spacing w:line="240" w:lineRule="auto"/>
              <w:ind w:firstLine="0"/>
              <w:jc w:val="center"/>
              <w:rPr>
                <w:b/>
                <w:sz w:val="22"/>
              </w:rPr>
            </w:pPr>
            <w:r>
              <w:rPr>
                <w:b/>
                <w:sz w:val="22"/>
              </w:rPr>
              <w:t xml:space="preserve">External </w:t>
            </w:r>
            <w:r w:rsidR="002A5417" w:rsidRPr="007914A6">
              <w:rPr>
                <w:b/>
                <w:sz w:val="22"/>
              </w:rPr>
              <w:t>Umpir</w:t>
            </w:r>
            <w:r w:rsidR="002A5417">
              <w:rPr>
                <w:b/>
                <w:sz w:val="22"/>
              </w:rPr>
              <w:t>e</w:t>
            </w:r>
            <w:r w:rsidR="002A5417" w:rsidRPr="007914A6">
              <w:rPr>
                <w:b/>
                <w:sz w:val="22"/>
              </w:rPr>
              <w:t xml:space="preserve"> </w:t>
            </w:r>
            <w:r w:rsidR="005A0264" w:rsidRPr="007914A6">
              <w:rPr>
                <w:b/>
                <w:sz w:val="22"/>
              </w:rPr>
              <w:t xml:space="preserve">for Resolving Disputes </w:t>
            </w:r>
          </w:p>
        </w:tc>
      </w:tr>
      <w:tr w:rsidR="005A0264" w:rsidRPr="00390B67" w14:paraId="17D479CD" w14:textId="77777777" w:rsidTr="004C2716">
        <w:trPr>
          <w:trHeight w:val="296"/>
        </w:trPr>
        <w:tc>
          <w:tcPr>
            <w:tcW w:w="1985" w:type="dxa"/>
            <w:vMerge/>
            <w:tcBorders>
              <w:left w:val="single" w:sz="4" w:space="0" w:color="auto"/>
              <w:bottom w:val="single" w:sz="4" w:space="0" w:color="auto"/>
              <w:right w:val="single" w:sz="4" w:space="0" w:color="auto"/>
            </w:tcBorders>
          </w:tcPr>
          <w:p w14:paraId="08755D6D" w14:textId="77777777" w:rsidR="005A0264" w:rsidRPr="00390B67" w:rsidRDefault="005A0264" w:rsidP="00934BA4">
            <w:pPr>
              <w:spacing w:line="240" w:lineRule="auto"/>
              <w:ind w:right="-87" w:firstLine="0"/>
              <w:rPr>
                <w:sz w:val="22"/>
              </w:rPr>
            </w:pPr>
          </w:p>
        </w:tc>
        <w:tc>
          <w:tcPr>
            <w:tcW w:w="3260" w:type="dxa"/>
            <w:tcBorders>
              <w:left w:val="single" w:sz="4" w:space="0" w:color="auto"/>
            </w:tcBorders>
          </w:tcPr>
          <w:p w14:paraId="70F4B23E" w14:textId="2072828F" w:rsidR="005A0264" w:rsidRPr="007914A6" w:rsidRDefault="00C84728" w:rsidP="002A5417">
            <w:pPr>
              <w:spacing w:line="240" w:lineRule="auto"/>
              <w:ind w:firstLine="0"/>
              <w:jc w:val="center"/>
              <w:rPr>
                <w:b/>
                <w:sz w:val="22"/>
              </w:rPr>
            </w:pPr>
            <w:r w:rsidRPr="007914A6">
              <w:rPr>
                <w:b/>
                <w:sz w:val="22"/>
              </w:rPr>
              <w:t>Not available</w:t>
            </w:r>
          </w:p>
        </w:tc>
        <w:tc>
          <w:tcPr>
            <w:tcW w:w="3402" w:type="dxa"/>
          </w:tcPr>
          <w:p w14:paraId="6717D1B2" w14:textId="6465F48D" w:rsidR="005A0264" w:rsidRPr="007914A6" w:rsidRDefault="00AE6333" w:rsidP="002A5417">
            <w:pPr>
              <w:spacing w:line="240" w:lineRule="auto"/>
              <w:ind w:firstLine="0"/>
              <w:jc w:val="center"/>
              <w:rPr>
                <w:b/>
                <w:sz w:val="22"/>
              </w:rPr>
            </w:pPr>
            <w:r>
              <w:rPr>
                <w:b/>
                <w:sz w:val="22"/>
              </w:rPr>
              <w:t>Imposed by the Environment</w:t>
            </w:r>
          </w:p>
        </w:tc>
      </w:tr>
      <w:tr w:rsidR="005A0264" w:rsidRPr="00390B67" w14:paraId="16CC37CD" w14:textId="77777777" w:rsidTr="009F0D22">
        <w:tc>
          <w:tcPr>
            <w:tcW w:w="1985" w:type="dxa"/>
            <w:tcBorders>
              <w:top w:val="single" w:sz="4" w:space="0" w:color="auto"/>
            </w:tcBorders>
            <w:vAlign w:val="center"/>
          </w:tcPr>
          <w:p w14:paraId="4D5162AC" w14:textId="77777777" w:rsidR="005A0264" w:rsidRPr="007914A6" w:rsidRDefault="005A0264" w:rsidP="00934BA4">
            <w:pPr>
              <w:spacing w:line="240" w:lineRule="auto"/>
              <w:ind w:left="-141" w:firstLine="0"/>
              <w:jc w:val="center"/>
              <w:rPr>
                <w:b/>
                <w:sz w:val="22"/>
              </w:rPr>
            </w:pPr>
            <w:r w:rsidRPr="007914A6">
              <w:rPr>
                <w:b/>
                <w:sz w:val="22"/>
              </w:rPr>
              <w:t>Limited</w:t>
            </w:r>
          </w:p>
        </w:tc>
        <w:tc>
          <w:tcPr>
            <w:tcW w:w="3260" w:type="dxa"/>
          </w:tcPr>
          <w:p w14:paraId="5F317C84" w14:textId="3663B431" w:rsidR="00D15F8B" w:rsidRDefault="00AE6333" w:rsidP="00D15F8B">
            <w:pPr>
              <w:spacing w:line="240" w:lineRule="auto"/>
              <w:ind w:left="-108" w:right="-108" w:firstLine="0"/>
              <w:jc w:val="left"/>
              <w:rPr>
                <w:sz w:val="22"/>
              </w:rPr>
            </w:pPr>
            <w:r>
              <w:rPr>
                <w:sz w:val="22"/>
              </w:rPr>
              <w:t xml:space="preserve">Organizational design </w:t>
            </w:r>
            <w:r w:rsidR="00D15F8B">
              <w:rPr>
                <w:sz w:val="22"/>
              </w:rPr>
              <w:t>allows for moderate</w:t>
            </w:r>
            <w:r w:rsidR="00D15F8B" w:rsidRPr="00390B67">
              <w:rPr>
                <w:sz w:val="22"/>
              </w:rPr>
              <w:t xml:space="preserve"> slippages in the </w:t>
            </w:r>
            <w:r w:rsidR="00D15F8B">
              <w:rPr>
                <w:sz w:val="22"/>
              </w:rPr>
              <w:t>performance</w:t>
            </w:r>
            <w:r w:rsidR="00D15F8B" w:rsidRPr="00390B67">
              <w:rPr>
                <w:sz w:val="22"/>
              </w:rPr>
              <w:t xml:space="preserve"> targets</w:t>
            </w:r>
          </w:p>
          <w:p w14:paraId="1BED9628" w14:textId="64F63C5D" w:rsidR="005A0264" w:rsidRPr="00390B67" w:rsidRDefault="00D15F8B" w:rsidP="00AE6333">
            <w:pPr>
              <w:spacing w:line="240" w:lineRule="auto"/>
              <w:ind w:left="-108" w:right="-108" w:firstLine="0"/>
              <w:jc w:val="left"/>
              <w:rPr>
                <w:sz w:val="22"/>
              </w:rPr>
            </w:pPr>
            <w:r>
              <w:rPr>
                <w:sz w:val="22"/>
              </w:rPr>
              <w:t xml:space="preserve"> </w:t>
            </w:r>
          </w:p>
          <w:p w14:paraId="04A62D04" w14:textId="5576A608" w:rsidR="005A0264" w:rsidRPr="00390B67" w:rsidRDefault="00AE6333" w:rsidP="000E4CEE">
            <w:pPr>
              <w:spacing w:line="240" w:lineRule="auto"/>
              <w:ind w:left="-108" w:right="-108" w:firstLine="0"/>
              <w:jc w:val="left"/>
              <w:rPr>
                <w:sz w:val="22"/>
              </w:rPr>
            </w:pPr>
            <w:r>
              <w:rPr>
                <w:sz w:val="22"/>
              </w:rPr>
              <w:t>Organizational design encourages</w:t>
            </w:r>
            <w:r w:rsidR="00D15F8B">
              <w:rPr>
                <w:sz w:val="22"/>
              </w:rPr>
              <w:t xml:space="preserve"> s</w:t>
            </w:r>
            <w:r w:rsidR="005A0264" w:rsidRPr="00390B67">
              <w:rPr>
                <w:sz w:val="22"/>
              </w:rPr>
              <w:t>hared accountability for</w:t>
            </w:r>
            <w:r w:rsidR="000E4CEE">
              <w:rPr>
                <w:sz w:val="22"/>
              </w:rPr>
              <w:t xml:space="preserve"> slippages in the</w:t>
            </w:r>
            <w:r w:rsidR="005A0264" w:rsidRPr="00390B67">
              <w:rPr>
                <w:sz w:val="22"/>
              </w:rPr>
              <w:t xml:space="preserve"> </w:t>
            </w:r>
            <w:r w:rsidR="000E4CEE">
              <w:rPr>
                <w:sz w:val="22"/>
              </w:rPr>
              <w:t>performance targets</w:t>
            </w:r>
          </w:p>
          <w:p w14:paraId="4E3F2CD1" w14:textId="508DBAD9" w:rsidR="005A0264" w:rsidRPr="00390B67" w:rsidRDefault="005A0264" w:rsidP="00D15F8B">
            <w:pPr>
              <w:spacing w:line="240" w:lineRule="auto"/>
              <w:ind w:right="-108" w:firstLine="0"/>
              <w:jc w:val="left"/>
              <w:rPr>
                <w:sz w:val="22"/>
              </w:rPr>
            </w:pPr>
          </w:p>
          <w:p w14:paraId="68A7339A" w14:textId="77777777" w:rsidR="005A0264" w:rsidRPr="00390B67" w:rsidRDefault="005A0264" w:rsidP="000E4CEE">
            <w:pPr>
              <w:spacing w:line="240" w:lineRule="auto"/>
              <w:ind w:left="-108" w:right="-108" w:firstLine="0"/>
              <w:rPr>
                <w:i/>
                <w:sz w:val="22"/>
              </w:rPr>
            </w:pPr>
            <w:r w:rsidRPr="00390B67">
              <w:rPr>
                <w:i/>
                <w:sz w:val="22"/>
              </w:rPr>
              <w:t>Example: Heathrow T2</w:t>
            </w:r>
          </w:p>
        </w:tc>
        <w:tc>
          <w:tcPr>
            <w:tcW w:w="3402" w:type="dxa"/>
          </w:tcPr>
          <w:p w14:paraId="71738770" w14:textId="1503BD8F" w:rsidR="005A0264" w:rsidRPr="008A6FFD" w:rsidRDefault="00AE6333" w:rsidP="000E4CEE">
            <w:pPr>
              <w:spacing w:line="240" w:lineRule="auto"/>
              <w:ind w:left="-108" w:right="-108" w:firstLine="0"/>
              <w:jc w:val="left"/>
              <w:rPr>
                <w:i/>
                <w:sz w:val="22"/>
              </w:rPr>
            </w:pPr>
            <w:r>
              <w:rPr>
                <w:sz w:val="22"/>
              </w:rPr>
              <w:t xml:space="preserve">Organizational design </w:t>
            </w:r>
            <w:r w:rsidR="00D15F8B">
              <w:rPr>
                <w:sz w:val="22"/>
              </w:rPr>
              <w:t>creates high</w:t>
            </w:r>
            <w:r w:rsidR="005A0264" w:rsidRPr="00390B67">
              <w:rPr>
                <w:sz w:val="22"/>
              </w:rPr>
              <w:t xml:space="preserve"> risk of major slippages of the </w:t>
            </w:r>
            <w:r w:rsidR="00D90AF3">
              <w:rPr>
                <w:sz w:val="22"/>
              </w:rPr>
              <w:t>performance</w:t>
            </w:r>
            <w:r w:rsidR="005A0264" w:rsidRPr="00390B67">
              <w:rPr>
                <w:sz w:val="22"/>
              </w:rPr>
              <w:t xml:space="preserve">  targets </w:t>
            </w:r>
            <w:r w:rsidR="000E4CEE" w:rsidRPr="008A6FFD">
              <w:rPr>
                <w:i/>
                <w:sz w:val="22"/>
              </w:rPr>
              <w:t>in the</w:t>
            </w:r>
            <w:r>
              <w:rPr>
                <w:i/>
                <w:sz w:val="22"/>
              </w:rPr>
              <w:t xml:space="preserve"> public</w:t>
            </w:r>
            <w:r w:rsidR="000E4CEE" w:rsidRPr="008A6FFD">
              <w:rPr>
                <w:i/>
                <w:sz w:val="22"/>
              </w:rPr>
              <w:t xml:space="preserve"> eye </w:t>
            </w:r>
          </w:p>
          <w:p w14:paraId="5ECD9C6D" w14:textId="77777777" w:rsidR="000E4CEE" w:rsidRDefault="000E4CEE" w:rsidP="000E4CEE">
            <w:pPr>
              <w:spacing w:line="240" w:lineRule="auto"/>
              <w:ind w:left="-108" w:right="-108" w:firstLine="0"/>
              <w:jc w:val="left"/>
              <w:rPr>
                <w:sz w:val="22"/>
              </w:rPr>
            </w:pPr>
          </w:p>
          <w:p w14:paraId="0DA45116" w14:textId="544136A4" w:rsidR="000E4CEE" w:rsidRDefault="00AE6333" w:rsidP="000E4CEE">
            <w:pPr>
              <w:spacing w:line="240" w:lineRule="auto"/>
              <w:ind w:left="-108" w:right="-108" w:firstLine="0"/>
              <w:jc w:val="left"/>
              <w:rPr>
                <w:sz w:val="22"/>
              </w:rPr>
            </w:pPr>
            <w:r>
              <w:rPr>
                <w:sz w:val="22"/>
              </w:rPr>
              <w:t xml:space="preserve">Organizational design </w:t>
            </w:r>
            <w:r w:rsidR="00D15F8B">
              <w:rPr>
                <w:sz w:val="22"/>
              </w:rPr>
              <w:t>creates high</w:t>
            </w:r>
            <w:r w:rsidR="005A0264" w:rsidRPr="00390B67">
              <w:rPr>
                <w:sz w:val="22"/>
              </w:rPr>
              <w:t xml:space="preserve"> risk of</w:t>
            </w:r>
            <w:r w:rsidR="000E4CEE">
              <w:rPr>
                <w:sz w:val="22"/>
              </w:rPr>
              <w:t xml:space="preserve"> impasse if slippages of </w:t>
            </w:r>
            <w:r w:rsidR="0039516C">
              <w:rPr>
                <w:sz w:val="22"/>
              </w:rPr>
              <w:t xml:space="preserve">the </w:t>
            </w:r>
            <w:r w:rsidR="000E4CEE">
              <w:rPr>
                <w:sz w:val="22"/>
              </w:rPr>
              <w:t>performance targets are ruled out</w:t>
            </w:r>
          </w:p>
          <w:p w14:paraId="4DEB12DC" w14:textId="1B3FC1B1" w:rsidR="0039516C" w:rsidRPr="00390B67" w:rsidRDefault="000E4CEE" w:rsidP="008A6FFD">
            <w:pPr>
              <w:spacing w:line="240" w:lineRule="auto"/>
              <w:ind w:left="-108" w:right="-108" w:firstLine="0"/>
              <w:jc w:val="left"/>
              <w:rPr>
                <w:sz w:val="22"/>
              </w:rPr>
            </w:pPr>
            <w:r>
              <w:rPr>
                <w:sz w:val="22"/>
              </w:rPr>
              <w:t xml:space="preserve"> </w:t>
            </w:r>
          </w:p>
          <w:p w14:paraId="605F8D8E" w14:textId="77777777" w:rsidR="004C2716" w:rsidRDefault="005A0264" w:rsidP="002A5417">
            <w:pPr>
              <w:spacing w:line="240" w:lineRule="auto"/>
              <w:ind w:left="-108" w:right="-108" w:firstLine="0"/>
              <w:rPr>
                <w:i/>
                <w:sz w:val="22"/>
              </w:rPr>
            </w:pPr>
            <w:r w:rsidRPr="00390B67">
              <w:rPr>
                <w:i/>
                <w:sz w:val="22"/>
              </w:rPr>
              <w:t>No example: Scenario discouraged</w:t>
            </w:r>
          </w:p>
          <w:p w14:paraId="75AD5CC0" w14:textId="4CC65A93" w:rsidR="005A0264" w:rsidRPr="00390B67" w:rsidRDefault="005A0264" w:rsidP="002A5417">
            <w:pPr>
              <w:spacing w:line="240" w:lineRule="auto"/>
              <w:ind w:left="-108" w:right="-108" w:firstLine="0"/>
              <w:rPr>
                <w:i/>
                <w:sz w:val="22"/>
              </w:rPr>
            </w:pPr>
            <w:r w:rsidRPr="00390B67">
              <w:rPr>
                <w:i/>
                <w:sz w:val="22"/>
              </w:rPr>
              <w:t xml:space="preserve"> by UK public policy </w:t>
            </w:r>
          </w:p>
        </w:tc>
      </w:tr>
      <w:tr w:rsidR="005A0264" w14:paraId="185906F3" w14:textId="77777777" w:rsidTr="009F0D22">
        <w:tc>
          <w:tcPr>
            <w:tcW w:w="1985" w:type="dxa"/>
            <w:vAlign w:val="center"/>
          </w:tcPr>
          <w:p w14:paraId="3385654D" w14:textId="15F936A3" w:rsidR="005A0264" w:rsidRPr="007914A6" w:rsidRDefault="005A0264" w:rsidP="000E4CEE">
            <w:pPr>
              <w:spacing w:line="240" w:lineRule="auto"/>
              <w:ind w:left="-141" w:right="-87" w:firstLine="0"/>
              <w:jc w:val="center"/>
              <w:rPr>
                <w:b/>
                <w:sz w:val="22"/>
              </w:rPr>
            </w:pPr>
            <w:r w:rsidRPr="007914A6">
              <w:rPr>
                <w:b/>
                <w:sz w:val="22"/>
              </w:rPr>
              <w:t>Substantial</w:t>
            </w:r>
          </w:p>
        </w:tc>
        <w:tc>
          <w:tcPr>
            <w:tcW w:w="3260" w:type="dxa"/>
          </w:tcPr>
          <w:p w14:paraId="1F8C0CCC" w14:textId="77F673C5" w:rsidR="005A0264" w:rsidRPr="00390B67" w:rsidRDefault="00AE6333" w:rsidP="000E4CEE">
            <w:pPr>
              <w:spacing w:line="240" w:lineRule="auto"/>
              <w:ind w:left="-108" w:right="-87" w:firstLine="0"/>
              <w:jc w:val="left"/>
              <w:rPr>
                <w:sz w:val="22"/>
              </w:rPr>
            </w:pPr>
            <w:r>
              <w:rPr>
                <w:sz w:val="22"/>
              </w:rPr>
              <w:t>Organizational design</w:t>
            </w:r>
            <w:r w:rsidR="00D15F8B">
              <w:rPr>
                <w:sz w:val="22"/>
              </w:rPr>
              <w:t xml:space="preserve"> creates real</w:t>
            </w:r>
            <w:r w:rsidR="000E4CEE">
              <w:rPr>
                <w:sz w:val="22"/>
              </w:rPr>
              <w:t xml:space="preserve"> risk that performance targets will slip until there is no more slack</w:t>
            </w:r>
            <w:r w:rsidR="00D15F8B">
              <w:rPr>
                <w:sz w:val="22"/>
              </w:rPr>
              <w:t xml:space="preserve"> left</w:t>
            </w:r>
          </w:p>
          <w:p w14:paraId="1185EDC5" w14:textId="77777777" w:rsidR="000E4CEE" w:rsidRPr="00390B67" w:rsidRDefault="000E4CEE" w:rsidP="008A6FFD">
            <w:pPr>
              <w:spacing w:line="240" w:lineRule="auto"/>
              <w:ind w:right="-87" w:firstLine="0"/>
              <w:jc w:val="left"/>
              <w:rPr>
                <w:sz w:val="22"/>
              </w:rPr>
            </w:pPr>
          </w:p>
          <w:p w14:paraId="23F60294" w14:textId="3A3AADE2" w:rsidR="005A0264" w:rsidRPr="00390B67" w:rsidRDefault="00AE6333" w:rsidP="000E4CEE">
            <w:pPr>
              <w:spacing w:line="240" w:lineRule="auto"/>
              <w:ind w:left="-108" w:right="-87" w:firstLine="0"/>
              <w:jc w:val="left"/>
              <w:rPr>
                <w:sz w:val="22"/>
              </w:rPr>
            </w:pPr>
            <w:r>
              <w:rPr>
                <w:sz w:val="22"/>
              </w:rPr>
              <w:t xml:space="preserve">Organizational design </w:t>
            </w:r>
            <w:r w:rsidR="00D15F8B">
              <w:rPr>
                <w:sz w:val="22"/>
              </w:rPr>
              <w:t xml:space="preserve">allows </w:t>
            </w:r>
            <w:r w:rsidR="000E4CEE">
              <w:rPr>
                <w:sz w:val="22"/>
              </w:rPr>
              <w:t>to mask s</w:t>
            </w:r>
            <w:r w:rsidR="005A0264" w:rsidRPr="00390B67">
              <w:rPr>
                <w:sz w:val="22"/>
              </w:rPr>
              <w:t>l</w:t>
            </w:r>
            <w:r w:rsidR="000E4CEE">
              <w:rPr>
                <w:sz w:val="22"/>
              </w:rPr>
              <w:t xml:space="preserve">ippages in the performance </w:t>
            </w:r>
            <w:r w:rsidR="005A0264" w:rsidRPr="00390B67">
              <w:rPr>
                <w:sz w:val="22"/>
              </w:rPr>
              <w:t xml:space="preserve"> targets from</w:t>
            </w:r>
            <w:r w:rsidR="000E4CEE">
              <w:rPr>
                <w:sz w:val="22"/>
              </w:rPr>
              <w:t xml:space="preserve"> the eyes of third parties</w:t>
            </w:r>
            <w:r w:rsidR="005A0264" w:rsidRPr="00390B67">
              <w:rPr>
                <w:sz w:val="22"/>
              </w:rPr>
              <w:t xml:space="preserve"> </w:t>
            </w:r>
          </w:p>
          <w:p w14:paraId="2FCDC01B" w14:textId="77777777" w:rsidR="005A0264" w:rsidRPr="00390B67" w:rsidRDefault="005A0264" w:rsidP="000E4CEE">
            <w:pPr>
              <w:spacing w:line="240" w:lineRule="auto"/>
              <w:ind w:left="-108" w:right="-87" w:firstLine="0"/>
              <w:rPr>
                <w:sz w:val="22"/>
              </w:rPr>
            </w:pPr>
          </w:p>
          <w:p w14:paraId="034FAB92" w14:textId="77777777" w:rsidR="005A0264" w:rsidRPr="00390B67" w:rsidRDefault="005A0264" w:rsidP="000E4CEE">
            <w:pPr>
              <w:spacing w:line="240" w:lineRule="auto"/>
              <w:ind w:left="-108" w:right="-87" w:firstLine="0"/>
              <w:rPr>
                <w:i/>
                <w:sz w:val="22"/>
              </w:rPr>
            </w:pPr>
            <w:r w:rsidRPr="00390B67">
              <w:rPr>
                <w:i/>
                <w:sz w:val="22"/>
              </w:rPr>
              <w:t>Example: Olympic Park</w:t>
            </w:r>
          </w:p>
        </w:tc>
        <w:tc>
          <w:tcPr>
            <w:tcW w:w="3402" w:type="dxa"/>
          </w:tcPr>
          <w:p w14:paraId="66F79530" w14:textId="332E67E8" w:rsidR="00D15F8B" w:rsidRPr="00390B67" w:rsidRDefault="00AE6333" w:rsidP="00D15F8B">
            <w:pPr>
              <w:spacing w:line="240" w:lineRule="auto"/>
              <w:ind w:left="-108" w:right="-87" w:firstLine="0"/>
              <w:jc w:val="left"/>
              <w:rPr>
                <w:sz w:val="22"/>
              </w:rPr>
            </w:pPr>
            <w:r>
              <w:rPr>
                <w:sz w:val="22"/>
              </w:rPr>
              <w:t xml:space="preserve">Organizational design </w:t>
            </w:r>
            <w:r w:rsidR="00D15F8B">
              <w:rPr>
                <w:sz w:val="22"/>
              </w:rPr>
              <w:t xml:space="preserve">creates real risk that performance targets will slip </w:t>
            </w:r>
            <w:r>
              <w:rPr>
                <w:sz w:val="22"/>
              </w:rPr>
              <w:t xml:space="preserve"> </w:t>
            </w:r>
            <w:r w:rsidR="0042517B">
              <w:rPr>
                <w:sz w:val="22"/>
              </w:rPr>
              <w:t xml:space="preserve">until there is no more slack left  </w:t>
            </w:r>
            <w:r w:rsidR="0042517B" w:rsidRPr="00B33E51">
              <w:rPr>
                <w:i/>
                <w:sz w:val="22"/>
              </w:rPr>
              <w:t xml:space="preserve">and </w:t>
            </w:r>
            <w:r>
              <w:rPr>
                <w:sz w:val="22"/>
              </w:rPr>
              <w:t>umpiring process is completed</w:t>
            </w:r>
          </w:p>
          <w:p w14:paraId="7C5D6FC6" w14:textId="77777777" w:rsidR="005A0264" w:rsidRPr="00390B67" w:rsidRDefault="005A0264" w:rsidP="0039516C">
            <w:pPr>
              <w:spacing w:line="240" w:lineRule="auto"/>
              <w:ind w:right="-108" w:firstLine="0"/>
              <w:jc w:val="left"/>
              <w:rPr>
                <w:sz w:val="22"/>
              </w:rPr>
            </w:pPr>
          </w:p>
          <w:p w14:paraId="7DEE578C" w14:textId="5B5AED86" w:rsidR="00D15F8B" w:rsidRPr="00390B67" w:rsidRDefault="00AE6333" w:rsidP="00D15F8B">
            <w:pPr>
              <w:spacing w:line="240" w:lineRule="auto"/>
              <w:ind w:left="-108" w:right="-87" w:firstLine="0"/>
              <w:jc w:val="left"/>
              <w:rPr>
                <w:sz w:val="22"/>
              </w:rPr>
            </w:pPr>
            <w:r>
              <w:rPr>
                <w:sz w:val="22"/>
              </w:rPr>
              <w:t xml:space="preserve">Organizational design </w:t>
            </w:r>
            <w:r w:rsidR="00D15F8B">
              <w:rPr>
                <w:sz w:val="22"/>
              </w:rPr>
              <w:t>allows to mask s</w:t>
            </w:r>
            <w:r w:rsidR="00D15F8B" w:rsidRPr="00390B67">
              <w:rPr>
                <w:sz w:val="22"/>
              </w:rPr>
              <w:t>l</w:t>
            </w:r>
            <w:r w:rsidR="00D15F8B">
              <w:rPr>
                <w:sz w:val="22"/>
              </w:rPr>
              <w:t xml:space="preserve">ippages in the performance </w:t>
            </w:r>
            <w:r w:rsidR="00D15F8B" w:rsidRPr="00390B67">
              <w:rPr>
                <w:sz w:val="22"/>
              </w:rPr>
              <w:t xml:space="preserve"> targets from</w:t>
            </w:r>
            <w:r w:rsidR="00D15F8B">
              <w:rPr>
                <w:sz w:val="22"/>
              </w:rPr>
              <w:t xml:space="preserve"> the eyes of third parties</w:t>
            </w:r>
            <w:r w:rsidR="00D15F8B" w:rsidRPr="00390B67">
              <w:rPr>
                <w:sz w:val="22"/>
              </w:rPr>
              <w:t xml:space="preserve"> </w:t>
            </w:r>
          </w:p>
          <w:p w14:paraId="183E75C8" w14:textId="77777777" w:rsidR="0039516C" w:rsidRPr="00390B67" w:rsidRDefault="0039516C" w:rsidP="000E4CEE">
            <w:pPr>
              <w:spacing w:line="240" w:lineRule="auto"/>
              <w:ind w:left="-108" w:right="-108" w:firstLine="0"/>
              <w:rPr>
                <w:sz w:val="22"/>
              </w:rPr>
            </w:pPr>
          </w:p>
          <w:p w14:paraId="42357868" w14:textId="77777777" w:rsidR="005A0264" w:rsidRPr="00833EA9" w:rsidRDefault="005A0264" w:rsidP="000E4CEE">
            <w:pPr>
              <w:spacing w:line="240" w:lineRule="auto"/>
              <w:ind w:left="-108" w:right="-108" w:firstLine="0"/>
              <w:rPr>
                <w:i/>
                <w:sz w:val="22"/>
              </w:rPr>
            </w:pPr>
            <w:r w:rsidRPr="00390B67">
              <w:rPr>
                <w:i/>
                <w:sz w:val="22"/>
              </w:rPr>
              <w:t>Example: HS2, Crossrail</w:t>
            </w:r>
          </w:p>
        </w:tc>
      </w:tr>
    </w:tbl>
    <w:p w14:paraId="4DC58C80" w14:textId="59FF69B8" w:rsidR="005A0264" w:rsidRDefault="005A0264" w:rsidP="005A0264">
      <w:pPr>
        <w:spacing w:line="240" w:lineRule="auto"/>
        <w:ind w:firstLine="0"/>
        <w:jc w:val="left"/>
        <w:rPr>
          <w:rStyle w:val="SubtleReference"/>
          <w:sz w:val="24"/>
          <w:szCs w:val="24"/>
        </w:rPr>
      </w:pPr>
    </w:p>
    <w:p w14:paraId="2C86E29D" w14:textId="77777777" w:rsidR="001C3637" w:rsidRDefault="001C3637" w:rsidP="009F0D22">
      <w:pPr>
        <w:spacing w:line="240" w:lineRule="auto"/>
        <w:ind w:firstLine="0"/>
        <w:jc w:val="left"/>
        <w:rPr>
          <w:sz w:val="18"/>
          <w:szCs w:val="18"/>
          <w:lang w:eastAsia="fr-FR"/>
        </w:rPr>
      </w:pPr>
    </w:p>
    <w:sectPr w:rsidR="001C3637" w:rsidSect="004842C6">
      <w:pgSz w:w="11906" w:h="16838"/>
      <w:pgMar w:top="1440" w:right="1418" w:bottom="1440"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EB13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978D8" w14:textId="77777777" w:rsidR="00015F9C" w:rsidRDefault="00015F9C" w:rsidP="001704AD">
      <w:r>
        <w:separator/>
      </w:r>
    </w:p>
  </w:endnote>
  <w:endnote w:type="continuationSeparator" w:id="0">
    <w:p w14:paraId="0C1E2094" w14:textId="77777777" w:rsidR="00015F9C" w:rsidRDefault="00015F9C" w:rsidP="0017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83358"/>
      <w:docPartObj>
        <w:docPartGallery w:val="Page Numbers (Bottom of Page)"/>
        <w:docPartUnique/>
      </w:docPartObj>
    </w:sdtPr>
    <w:sdtEndPr>
      <w:rPr>
        <w:noProof/>
      </w:rPr>
    </w:sdtEndPr>
    <w:sdtContent>
      <w:p w14:paraId="1AA77071" w14:textId="2D4EA1EA" w:rsidR="003132B3" w:rsidRDefault="003132B3">
        <w:pPr>
          <w:pStyle w:val="Footer"/>
          <w:jc w:val="center"/>
        </w:pPr>
        <w:r>
          <w:fldChar w:fldCharType="begin"/>
        </w:r>
        <w:r>
          <w:instrText xml:space="preserve"> PAGE   \* MERGEFORMAT </w:instrText>
        </w:r>
        <w:r>
          <w:fldChar w:fldCharType="separate"/>
        </w:r>
        <w:r w:rsidR="00D62FEC">
          <w:rPr>
            <w:noProof/>
          </w:rPr>
          <w:t>1</w:t>
        </w:r>
        <w:r>
          <w:rPr>
            <w:noProof/>
          </w:rPr>
          <w:fldChar w:fldCharType="end"/>
        </w:r>
      </w:p>
    </w:sdtContent>
  </w:sdt>
  <w:p w14:paraId="2491664F" w14:textId="77777777" w:rsidR="003132B3" w:rsidRDefault="003132B3" w:rsidP="00170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AA19" w14:textId="77777777" w:rsidR="00015F9C" w:rsidRDefault="00015F9C" w:rsidP="00626D0E">
      <w:pPr>
        <w:spacing w:line="240" w:lineRule="auto"/>
      </w:pPr>
      <w:r>
        <w:separator/>
      </w:r>
    </w:p>
  </w:footnote>
  <w:footnote w:type="continuationSeparator" w:id="0">
    <w:p w14:paraId="0CC07BCB" w14:textId="77777777" w:rsidR="00015F9C" w:rsidRDefault="00015F9C" w:rsidP="001704AD">
      <w:r>
        <w:continuationSeparator/>
      </w:r>
    </w:p>
  </w:footnote>
  <w:footnote w:id="1">
    <w:p w14:paraId="6CDA70D0" w14:textId="77777777" w:rsidR="003132B3" w:rsidRDefault="003132B3" w:rsidP="00FA5E3E">
      <w:pPr>
        <w:pStyle w:val="FootnoteText"/>
      </w:pPr>
      <w:r>
        <w:rPr>
          <w:rStyle w:val="FootnoteReference"/>
        </w:rPr>
        <w:footnoteRef/>
      </w:r>
      <w:r>
        <w:rPr>
          <w:vanish/>
        </w:rPr>
        <w:t>I</w:t>
      </w:r>
      <w:r>
        <w:t xml:space="preserve"> In 2012 BAA changed its name to Heathrow Ltd; we keep to the BAA name for the sake of simplicity</w:t>
      </w:r>
    </w:p>
  </w:footnote>
  <w:footnote w:id="2">
    <w:p w14:paraId="2E123C87" w14:textId="5BEBE569" w:rsidR="003132B3" w:rsidRDefault="003132B3" w:rsidP="00AD4D1D">
      <w:pPr>
        <w:pStyle w:val="FootnoteText"/>
      </w:pPr>
      <w:r>
        <w:rPr>
          <w:rStyle w:val="FootnoteReference"/>
        </w:rPr>
        <w:footnoteRef/>
      </w:r>
      <w:r>
        <w:t xml:space="preserve"> According to the Oxford English Dictionary </w:t>
      </w:r>
      <w:r w:rsidRPr="00665133">
        <w:rPr>
          <w:i/>
        </w:rPr>
        <w:t>umpire</w:t>
      </w:r>
      <w:r>
        <w:t xml:space="preserve"> and </w:t>
      </w:r>
      <w:r w:rsidRPr="00665133">
        <w:rPr>
          <w:i/>
        </w:rPr>
        <w:t>referee</w:t>
      </w:r>
      <w:r>
        <w:t xml:space="preserve"> are synonyms to denote the actor in power to exercise the final authority</w:t>
      </w:r>
    </w:p>
  </w:footnote>
  <w:footnote w:id="3">
    <w:p w14:paraId="7F44D4DE" w14:textId="77777777" w:rsidR="003132B3" w:rsidRDefault="003132B3" w:rsidP="00752264">
      <w:pPr>
        <w:pStyle w:val="FootnoteText"/>
      </w:pPr>
      <w:r>
        <w:rPr>
          <w:rStyle w:val="FootnoteReference"/>
        </w:rPr>
        <w:footnoteRef/>
      </w:r>
      <w:r>
        <w:t xml:space="preserve"> The UK Government </w:t>
      </w:r>
      <w:r w:rsidRPr="00CA19E5">
        <w:t xml:space="preserve">Cabinet </w:t>
      </w:r>
      <w:r>
        <w:t>includes</w:t>
      </w:r>
      <w:r w:rsidRPr="00CA19E5">
        <w:t xml:space="preserve"> the Prime Minister and the most senior ministers </w:t>
      </w:r>
    </w:p>
  </w:footnote>
  <w:footnote w:id="4">
    <w:p w14:paraId="3C3F89E9" w14:textId="77777777" w:rsidR="003132B3" w:rsidRDefault="003132B3" w:rsidP="00D94063">
      <w:pPr>
        <w:pStyle w:val="FootnoteText"/>
      </w:pPr>
      <w:r>
        <w:rPr>
          <w:rStyle w:val="FootnoteReference"/>
        </w:rPr>
        <w:footnoteRef/>
      </w:r>
      <w:r>
        <w:t xml:space="preserve"> All cost figures are presented in final (cash) prices for the sake of simplicity</w:t>
      </w:r>
    </w:p>
  </w:footnote>
  <w:footnote w:id="5">
    <w:p w14:paraId="2F8D1183" w14:textId="57A81575" w:rsidR="003132B3" w:rsidRDefault="003132B3">
      <w:pPr>
        <w:pStyle w:val="FootnoteText"/>
      </w:pPr>
      <w:r>
        <w:rPr>
          <w:rStyle w:val="FootnoteReference"/>
        </w:rPr>
        <w:footnoteRef/>
      </w:r>
      <w:r>
        <w:t xml:space="preserve"> Kelso, P. 2008. Olympics 2012 chiefs willing to spend money like water, say MPs. Guardian, 30 April</w:t>
      </w:r>
    </w:p>
  </w:footnote>
  <w:footnote w:id="6">
    <w:p w14:paraId="38E24ECD" w14:textId="77777777" w:rsidR="003132B3" w:rsidRDefault="003132B3" w:rsidP="001B4888">
      <w:pPr>
        <w:pStyle w:val="FootnoteText"/>
      </w:pPr>
      <w:r>
        <w:rPr>
          <w:rStyle w:val="FootnoteReference"/>
        </w:rPr>
        <w:footnoteRef/>
      </w:r>
      <w:r>
        <w:t xml:space="preserve"> </w:t>
      </w:r>
      <w:r w:rsidRPr="00CD1CC5">
        <w:rPr>
          <w:i/>
        </w:rPr>
        <w:t>Supplementary Green Book guidance-Optimism bias</w:t>
      </w:r>
      <w:r>
        <w:t>, a recommendation issued by the UK Treasury</w:t>
      </w:r>
    </w:p>
  </w:footnote>
  <w:footnote w:id="7">
    <w:p w14:paraId="72CBDBF2" w14:textId="77777777" w:rsidR="003132B3" w:rsidRDefault="003132B3" w:rsidP="00C154DA">
      <w:pPr>
        <w:pStyle w:val="FootnoteText"/>
      </w:pPr>
      <w:r>
        <w:rPr>
          <w:rStyle w:val="FootnoteReference"/>
        </w:rPr>
        <w:footnoteRef/>
      </w:r>
      <w:r>
        <w:t xml:space="preserve"> Includes £971m (venues); £89m (conversion costs); £640m (Olympic infrastructure); £1040m (non-Olympic infrastructure); £700m (local transport schemes); £766m (land) plus VAT (NAO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18E"/>
    <w:multiLevelType w:val="hybridMultilevel"/>
    <w:tmpl w:val="9CA883CA"/>
    <w:lvl w:ilvl="0" w:tplc="C9E83D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64C1474"/>
    <w:multiLevelType w:val="hybridMultilevel"/>
    <w:tmpl w:val="0F7E95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D43B37"/>
    <w:multiLevelType w:val="hybridMultilevel"/>
    <w:tmpl w:val="0F7E95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B1507F"/>
    <w:multiLevelType w:val="hybridMultilevel"/>
    <w:tmpl w:val="9BA203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07F6117"/>
    <w:multiLevelType w:val="hybridMultilevel"/>
    <w:tmpl w:val="932472F2"/>
    <w:lvl w:ilvl="0" w:tplc="184A1E9C">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5">
    <w:nsid w:val="29CC2445"/>
    <w:multiLevelType w:val="hybridMultilevel"/>
    <w:tmpl w:val="0706C7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62727E"/>
    <w:multiLevelType w:val="hybridMultilevel"/>
    <w:tmpl w:val="E5164246"/>
    <w:lvl w:ilvl="0" w:tplc="88F6E348">
      <w:start w:val="2014"/>
      <w:numFmt w:val="bullet"/>
      <w:lvlText w:val=""/>
      <w:lvlJc w:val="left"/>
      <w:pPr>
        <w:ind w:left="720" w:hanging="360"/>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F416BD"/>
    <w:multiLevelType w:val="hybridMultilevel"/>
    <w:tmpl w:val="E36678A8"/>
    <w:lvl w:ilvl="0" w:tplc="01765A4E">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8">
    <w:nsid w:val="4E6F37F6"/>
    <w:multiLevelType w:val="multilevel"/>
    <w:tmpl w:val="452CF850"/>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b w:val="0"/>
        <w:i/>
      </w:rPr>
    </w:lvl>
    <w:lvl w:ilvl="2">
      <w:start w:val="1"/>
      <w:numFmt w:val="decimal"/>
      <w:isLgl/>
      <w:lvlText w:val="%1.%2.%3."/>
      <w:lvlJc w:val="left"/>
      <w:pPr>
        <w:ind w:left="720" w:hanging="720"/>
      </w:pPr>
      <w:rPr>
        <w:rFonts w:hint="default"/>
        <w:b w:val="0"/>
        <w:i/>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5"/>
  </w:num>
  <w:num w:numId="2">
    <w:abstractNumId w:val="1"/>
  </w:num>
  <w:num w:numId="3">
    <w:abstractNumId w:val="2"/>
  </w:num>
  <w:num w:numId="4">
    <w:abstractNumId w:val="6"/>
  </w:num>
  <w:num w:numId="5">
    <w:abstractNumId w:val="7"/>
  </w:num>
  <w:num w:numId="6">
    <w:abstractNumId w:val="4"/>
  </w:num>
  <w:num w:numId="7">
    <w:abstractNumId w:val="0"/>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rey Pinto">
    <w15:presenceInfo w15:providerId="AD" w15:userId="S-1-5-21-2014530826-1916951580-16515117-3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C"/>
    <w:rsid w:val="0000015F"/>
    <w:rsid w:val="000001A8"/>
    <w:rsid w:val="00000ECD"/>
    <w:rsid w:val="00000FD6"/>
    <w:rsid w:val="000011AB"/>
    <w:rsid w:val="000011D3"/>
    <w:rsid w:val="00001325"/>
    <w:rsid w:val="00001684"/>
    <w:rsid w:val="000016D1"/>
    <w:rsid w:val="00002919"/>
    <w:rsid w:val="00002E4C"/>
    <w:rsid w:val="00002E8C"/>
    <w:rsid w:val="0000352D"/>
    <w:rsid w:val="000038AF"/>
    <w:rsid w:val="00003905"/>
    <w:rsid w:val="000039FE"/>
    <w:rsid w:val="00003BA8"/>
    <w:rsid w:val="000044FD"/>
    <w:rsid w:val="000046C9"/>
    <w:rsid w:val="00005540"/>
    <w:rsid w:val="00005971"/>
    <w:rsid w:val="00006C76"/>
    <w:rsid w:val="00006D62"/>
    <w:rsid w:val="00007069"/>
    <w:rsid w:val="00007416"/>
    <w:rsid w:val="00007606"/>
    <w:rsid w:val="0001052D"/>
    <w:rsid w:val="0001058D"/>
    <w:rsid w:val="00011126"/>
    <w:rsid w:val="000112C4"/>
    <w:rsid w:val="00011CC4"/>
    <w:rsid w:val="00012663"/>
    <w:rsid w:val="00012E6C"/>
    <w:rsid w:val="00012E9F"/>
    <w:rsid w:val="00013167"/>
    <w:rsid w:val="000134D0"/>
    <w:rsid w:val="0001357F"/>
    <w:rsid w:val="00013C3C"/>
    <w:rsid w:val="00013CE7"/>
    <w:rsid w:val="00013F35"/>
    <w:rsid w:val="00014222"/>
    <w:rsid w:val="000144D2"/>
    <w:rsid w:val="0001464B"/>
    <w:rsid w:val="00014937"/>
    <w:rsid w:val="00014B76"/>
    <w:rsid w:val="00015A1B"/>
    <w:rsid w:val="00015C37"/>
    <w:rsid w:val="00015DD5"/>
    <w:rsid w:val="00015F9C"/>
    <w:rsid w:val="000161EF"/>
    <w:rsid w:val="000169FE"/>
    <w:rsid w:val="00016B8E"/>
    <w:rsid w:val="00017480"/>
    <w:rsid w:val="000176EC"/>
    <w:rsid w:val="000177CE"/>
    <w:rsid w:val="00017AE6"/>
    <w:rsid w:val="00017E09"/>
    <w:rsid w:val="00017E26"/>
    <w:rsid w:val="00017E30"/>
    <w:rsid w:val="000202D5"/>
    <w:rsid w:val="000206D6"/>
    <w:rsid w:val="0002073D"/>
    <w:rsid w:val="00021478"/>
    <w:rsid w:val="00021A11"/>
    <w:rsid w:val="00021C10"/>
    <w:rsid w:val="00021D92"/>
    <w:rsid w:val="00021FC7"/>
    <w:rsid w:val="00022464"/>
    <w:rsid w:val="000224E3"/>
    <w:rsid w:val="00022B52"/>
    <w:rsid w:val="00022BDD"/>
    <w:rsid w:val="00022C07"/>
    <w:rsid w:val="000238DB"/>
    <w:rsid w:val="0002396B"/>
    <w:rsid w:val="000249FA"/>
    <w:rsid w:val="00024A6B"/>
    <w:rsid w:val="00024DA7"/>
    <w:rsid w:val="00025039"/>
    <w:rsid w:val="00025B5C"/>
    <w:rsid w:val="00025DA3"/>
    <w:rsid w:val="000265F2"/>
    <w:rsid w:val="00026CEA"/>
    <w:rsid w:val="00026DBE"/>
    <w:rsid w:val="0002716A"/>
    <w:rsid w:val="00027DA7"/>
    <w:rsid w:val="00027FD9"/>
    <w:rsid w:val="000306AB"/>
    <w:rsid w:val="00030955"/>
    <w:rsid w:val="00030BA6"/>
    <w:rsid w:val="000318E6"/>
    <w:rsid w:val="00031F89"/>
    <w:rsid w:val="00032573"/>
    <w:rsid w:val="00032A9F"/>
    <w:rsid w:val="00032DE3"/>
    <w:rsid w:val="00033234"/>
    <w:rsid w:val="00033C73"/>
    <w:rsid w:val="00033C76"/>
    <w:rsid w:val="00033E6B"/>
    <w:rsid w:val="000343ED"/>
    <w:rsid w:val="0003477E"/>
    <w:rsid w:val="00034EFC"/>
    <w:rsid w:val="00034FBC"/>
    <w:rsid w:val="00035238"/>
    <w:rsid w:val="000359F7"/>
    <w:rsid w:val="00035EE8"/>
    <w:rsid w:val="00036B18"/>
    <w:rsid w:val="00036D0A"/>
    <w:rsid w:val="00037545"/>
    <w:rsid w:val="000400B6"/>
    <w:rsid w:val="000400CA"/>
    <w:rsid w:val="000403D0"/>
    <w:rsid w:val="0004058B"/>
    <w:rsid w:val="00040DDC"/>
    <w:rsid w:val="00040EB5"/>
    <w:rsid w:val="0004185A"/>
    <w:rsid w:val="00042413"/>
    <w:rsid w:val="00042497"/>
    <w:rsid w:val="000426A5"/>
    <w:rsid w:val="00042AD0"/>
    <w:rsid w:val="00042CB0"/>
    <w:rsid w:val="00042D21"/>
    <w:rsid w:val="00042DBF"/>
    <w:rsid w:val="00042F38"/>
    <w:rsid w:val="0004423D"/>
    <w:rsid w:val="00044F3B"/>
    <w:rsid w:val="0004560D"/>
    <w:rsid w:val="000459E9"/>
    <w:rsid w:val="000462B2"/>
    <w:rsid w:val="000467CE"/>
    <w:rsid w:val="00046A16"/>
    <w:rsid w:val="00046AB3"/>
    <w:rsid w:val="00046BD6"/>
    <w:rsid w:val="00047C3A"/>
    <w:rsid w:val="00047C6A"/>
    <w:rsid w:val="00047EB6"/>
    <w:rsid w:val="00047FEB"/>
    <w:rsid w:val="00050C4D"/>
    <w:rsid w:val="00050D54"/>
    <w:rsid w:val="00051B32"/>
    <w:rsid w:val="00051E45"/>
    <w:rsid w:val="00052ACB"/>
    <w:rsid w:val="0005312A"/>
    <w:rsid w:val="00053740"/>
    <w:rsid w:val="00053AAD"/>
    <w:rsid w:val="00053E28"/>
    <w:rsid w:val="0005456F"/>
    <w:rsid w:val="00054C80"/>
    <w:rsid w:val="0005551B"/>
    <w:rsid w:val="00055664"/>
    <w:rsid w:val="00055BA9"/>
    <w:rsid w:val="00055C88"/>
    <w:rsid w:val="00056422"/>
    <w:rsid w:val="0005677E"/>
    <w:rsid w:val="00056C3D"/>
    <w:rsid w:val="00057584"/>
    <w:rsid w:val="000575A4"/>
    <w:rsid w:val="000575C2"/>
    <w:rsid w:val="0006001C"/>
    <w:rsid w:val="00060CCD"/>
    <w:rsid w:val="00060E9E"/>
    <w:rsid w:val="000613C4"/>
    <w:rsid w:val="0006149D"/>
    <w:rsid w:val="00061B96"/>
    <w:rsid w:val="00061DC4"/>
    <w:rsid w:val="000623BC"/>
    <w:rsid w:val="0006249A"/>
    <w:rsid w:val="000635D2"/>
    <w:rsid w:val="00063B72"/>
    <w:rsid w:val="000646C9"/>
    <w:rsid w:val="00065003"/>
    <w:rsid w:val="00065462"/>
    <w:rsid w:val="00065532"/>
    <w:rsid w:val="00065E82"/>
    <w:rsid w:val="00066060"/>
    <w:rsid w:val="00066066"/>
    <w:rsid w:val="000661BD"/>
    <w:rsid w:val="00066B45"/>
    <w:rsid w:val="00066DD1"/>
    <w:rsid w:val="0006759A"/>
    <w:rsid w:val="00067882"/>
    <w:rsid w:val="00067D24"/>
    <w:rsid w:val="00070596"/>
    <w:rsid w:val="00070A11"/>
    <w:rsid w:val="00071819"/>
    <w:rsid w:val="00071A21"/>
    <w:rsid w:val="00071A83"/>
    <w:rsid w:val="00071CD9"/>
    <w:rsid w:val="00071F2F"/>
    <w:rsid w:val="0007243A"/>
    <w:rsid w:val="0007262E"/>
    <w:rsid w:val="00072A5C"/>
    <w:rsid w:val="00073B3D"/>
    <w:rsid w:val="00073E10"/>
    <w:rsid w:val="000742C3"/>
    <w:rsid w:val="00075395"/>
    <w:rsid w:val="00075CC0"/>
    <w:rsid w:val="0007659D"/>
    <w:rsid w:val="0007660A"/>
    <w:rsid w:val="00077EC0"/>
    <w:rsid w:val="00080250"/>
    <w:rsid w:val="00081FC8"/>
    <w:rsid w:val="00082069"/>
    <w:rsid w:val="00082721"/>
    <w:rsid w:val="00082753"/>
    <w:rsid w:val="00082EDD"/>
    <w:rsid w:val="00082EF9"/>
    <w:rsid w:val="00083299"/>
    <w:rsid w:val="0008348C"/>
    <w:rsid w:val="000837BA"/>
    <w:rsid w:val="00083CA4"/>
    <w:rsid w:val="00083EE9"/>
    <w:rsid w:val="00083FA4"/>
    <w:rsid w:val="00084555"/>
    <w:rsid w:val="00084846"/>
    <w:rsid w:val="00084B2A"/>
    <w:rsid w:val="00084BB1"/>
    <w:rsid w:val="00084C77"/>
    <w:rsid w:val="00084FD4"/>
    <w:rsid w:val="00086104"/>
    <w:rsid w:val="0008614E"/>
    <w:rsid w:val="000866AB"/>
    <w:rsid w:val="00086A48"/>
    <w:rsid w:val="00087830"/>
    <w:rsid w:val="00087DD2"/>
    <w:rsid w:val="000906A9"/>
    <w:rsid w:val="000906EE"/>
    <w:rsid w:val="00091221"/>
    <w:rsid w:val="000914FC"/>
    <w:rsid w:val="00091855"/>
    <w:rsid w:val="0009217F"/>
    <w:rsid w:val="00092789"/>
    <w:rsid w:val="00092F19"/>
    <w:rsid w:val="00093135"/>
    <w:rsid w:val="000931E3"/>
    <w:rsid w:val="00093750"/>
    <w:rsid w:val="00093DD4"/>
    <w:rsid w:val="00093F26"/>
    <w:rsid w:val="00094393"/>
    <w:rsid w:val="00094963"/>
    <w:rsid w:val="00094BF7"/>
    <w:rsid w:val="00096982"/>
    <w:rsid w:val="0009702C"/>
    <w:rsid w:val="00097332"/>
    <w:rsid w:val="000974C0"/>
    <w:rsid w:val="000A0756"/>
    <w:rsid w:val="000A0CA6"/>
    <w:rsid w:val="000A1602"/>
    <w:rsid w:val="000A22D1"/>
    <w:rsid w:val="000A2565"/>
    <w:rsid w:val="000A2B17"/>
    <w:rsid w:val="000A2C45"/>
    <w:rsid w:val="000A3510"/>
    <w:rsid w:val="000A4772"/>
    <w:rsid w:val="000A4B0A"/>
    <w:rsid w:val="000A4E5D"/>
    <w:rsid w:val="000A506A"/>
    <w:rsid w:val="000A56A3"/>
    <w:rsid w:val="000A5B76"/>
    <w:rsid w:val="000A5EF7"/>
    <w:rsid w:val="000A68AE"/>
    <w:rsid w:val="000A701F"/>
    <w:rsid w:val="000A789E"/>
    <w:rsid w:val="000A7CCF"/>
    <w:rsid w:val="000A7D53"/>
    <w:rsid w:val="000B0206"/>
    <w:rsid w:val="000B0894"/>
    <w:rsid w:val="000B100A"/>
    <w:rsid w:val="000B11C0"/>
    <w:rsid w:val="000B14F9"/>
    <w:rsid w:val="000B17D9"/>
    <w:rsid w:val="000B1AE1"/>
    <w:rsid w:val="000B1AF8"/>
    <w:rsid w:val="000B1E97"/>
    <w:rsid w:val="000B1EE1"/>
    <w:rsid w:val="000B203A"/>
    <w:rsid w:val="000B21DB"/>
    <w:rsid w:val="000B2208"/>
    <w:rsid w:val="000B241D"/>
    <w:rsid w:val="000B245F"/>
    <w:rsid w:val="000B2493"/>
    <w:rsid w:val="000B24B4"/>
    <w:rsid w:val="000B28F6"/>
    <w:rsid w:val="000B38DC"/>
    <w:rsid w:val="000B469A"/>
    <w:rsid w:val="000B4BC2"/>
    <w:rsid w:val="000B5B8F"/>
    <w:rsid w:val="000B5E69"/>
    <w:rsid w:val="000B60D9"/>
    <w:rsid w:val="000B63BD"/>
    <w:rsid w:val="000B6DAB"/>
    <w:rsid w:val="000B713F"/>
    <w:rsid w:val="000B7427"/>
    <w:rsid w:val="000B76D9"/>
    <w:rsid w:val="000C027F"/>
    <w:rsid w:val="000C04F9"/>
    <w:rsid w:val="000C052C"/>
    <w:rsid w:val="000C093E"/>
    <w:rsid w:val="000C0B96"/>
    <w:rsid w:val="000C1B19"/>
    <w:rsid w:val="000C1FD6"/>
    <w:rsid w:val="000C28B2"/>
    <w:rsid w:val="000C2D81"/>
    <w:rsid w:val="000C3998"/>
    <w:rsid w:val="000C423E"/>
    <w:rsid w:val="000C43EE"/>
    <w:rsid w:val="000C46C5"/>
    <w:rsid w:val="000C4F5A"/>
    <w:rsid w:val="000C5D88"/>
    <w:rsid w:val="000C5E81"/>
    <w:rsid w:val="000C65E8"/>
    <w:rsid w:val="000C6781"/>
    <w:rsid w:val="000C6B1C"/>
    <w:rsid w:val="000C6BEC"/>
    <w:rsid w:val="000C75E2"/>
    <w:rsid w:val="000C7CE5"/>
    <w:rsid w:val="000C7F0B"/>
    <w:rsid w:val="000D01F1"/>
    <w:rsid w:val="000D04F2"/>
    <w:rsid w:val="000D056C"/>
    <w:rsid w:val="000D0B58"/>
    <w:rsid w:val="000D1E8E"/>
    <w:rsid w:val="000D24A3"/>
    <w:rsid w:val="000D2C92"/>
    <w:rsid w:val="000D2D12"/>
    <w:rsid w:val="000D2DF4"/>
    <w:rsid w:val="000D2E0D"/>
    <w:rsid w:val="000D3388"/>
    <w:rsid w:val="000D3EE6"/>
    <w:rsid w:val="000D4257"/>
    <w:rsid w:val="000D4282"/>
    <w:rsid w:val="000D4478"/>
    <w:rsid w:val="000D4569"/>
    <w:rsid w:val="000D4B1C"/>
    <w:rsid w:val="000D561B"/>
    <w:rsid w:val="000D5BDF"/>
    <w:rsid w:val="000D62C3"/>
    <w:rsid w:val="000D6640"/>
    <w:rsid w:val="000D798F"/>
    <w:rsid w:val="000D7CDD"/>
    <w:rsid w:val="000E0073"/>
    <w:rsid w:val="000E02F1"/>
    <w:rsid w:val="000E0378"/>
    <w:rsid w:val="000E058B"/>
    <w:rsid w:val="000E0F19"/>
    <w:rsid w:val="000E1D49"/>
    <w:rsid w:val="000E1F98"/>
    <w:rsid w:val="000E2170"/>
    <w:rsid w:val="000E2873"/>
    <w:rsid w:val="000E291E"/>
    <w:rsid w:val="000E2A0C"/>
    <w:rsid w:val="000E2D9C"/>
    <w:rsid w:val="000E2F3E"/>
    <w:rsid w:val="000E3347"/>
    <w:rsid w:val="000E393B"/>
    <w:rsid w:val="000E3ED4"/>
    <w:rsid w:val="000E41C4"/>
    <w:rsid w:val="000E4529"/>
    <w:rsid w:val="000E455F"/>
    <w:rsid w:val="000E4CEE"/>
    <w:rsid w:val="000E4D9C"/>
    <w:rsid w:val="000E5198"/>
    <w:rsid w:val="000E53C0"/>
    <w:rsid w:val="000E6039"/>
    <w:rsid w:val="000E6361"/>
    <w:rsid w:val="000E6392"/>
    <w:rsid w:val="000E667F"/>
    <w:rsid w:val="000E6989"/>
    <w:rsid w:val="000E69E8"/>
    <w:rsid w:val="000E798D"/>
    <w:rsid w:val="000E7E91"/>
    <w:rsid w:val="000F04D0"/>
    <w:rsid w:val="000F053A"/>
    <w:rsid w:val="000F084F"/>
    <w:rsid w:val="000F0E23"/>
    <w:rsid w:val="000F1178"/>
    <w:rsid w:val="000F1657"/>
    <w:rsid w:val="000F1F68"/>
    <w:rsid w:val="000F217C"/>
    <w:rsid w:val="000F34F3"/>
    <w:rsid w:val="000F3541"/>
    <w:rsid w:val="000F3643"/>
    <w:rsid w:val="000F3DC5"/>
    <w:rsid w:val="000F4AB1"/>
    <w:rsid w:val="000F59CF"/>
    <w:rsid w:val="000F5F05"/>
    <w:rsid w:val="000F61BA"/>
    <w:rsid w:val="000F68F8"/>
    <w:rsid w:val="000F691F"/>
    <w:rsid w:val="000F696E"/>
    <w:rsid w:val="000F6DFA"/>
    <w:rsid w:val="000F71E3"/>
    <w:rsid w:val="000F75AC"/>
    <w:rsid w:val="000F7C70"/>
    <w:rsid w:val="00100053"/>
    <w:rsid w:val="0010012B"/>
    <w:rsid w:val="00100C42"/>
    <w:rsid w:val="00101082"/>
    <w:rsid w:val="00101653"/>
    <w:rsid w:val="0010192A"/>
    <w:rsid w:val="00102372"/>
    <w:rsid w:val="00102524"/>
    <w:rsid w:val="00102580"/>
    <w:rsid w:val="001027E5"/>
    <w:rsid w:val="00103CC5"/>
    <w:rsid w:val="00103FA9"/>
    <w:rsid w:val="00104191"/>
    <w:rsid w:val="001044BD"/>
    <w:rsid w:val="0010451D"/>
    <w:rsid w:val="00104667"/>
    <w:rsid w:val="00104C59"/>
    <w:rsid w:val="0010517A"/>
    <w:rsid w:val="00105287"/>
    <w:rsid w:val="0010541A"/>
    <w:rsid w:val="001054AF"/>
    <w:rsid w:val="00105840"/>
    <w:rsid w:val="00106507"/>
    <w:rsid w:val="00106665"/>
    <w:rsid w:val="0010674E"/>
    <w:rsid w:val="0010695A"/>
    <w:rsid w:val="00107181"/>
    <w:rsid w:val="0010750B"/>
    <w:rsid w:val="001075A9"/>
    <w:rsid w:val="00107BEC"/>
    <w:rsid w:val="00110317"/>
    <w:rsid w:val="00110766"/>
    <w:rsid w:val="00110F07"/>
    <w:rsid w:val="001114FE"/>
    <w:rsid w:val="0011198D"/>
    <w:rsid w:val="00111A7F"/>
    <w:rsid w:val="00111BA1"/>
    <w:rsid w:val="00111E0D"/>
    <w:rsid w:val="001122FB"/>
    <w:rsid w:val="0011294A"/>
    <w:rsid w:val="00112E5A"/>
    <w:rsid w:val="00112EF4"/>
    <w:rsid w:val="001134F2"/>
    <w:rsid w:val="00114687"/>
    <w:rsid w:val="00114A11"/>
    <w:rsid w:val="00114B57"/>
    <w:rsid w:val="00114BB6"/>
    <w:rsid w:val="00114E19"/>
    <w:rsid w:val="00115492"/>
    <w:rsid w:val="001167FE"/>
    <w:rsid w:val="001169D6"/>
    <w:rsid w:val="0012028F"/>
    <w:rsid w:val="0012073B"/>
    <w:rsid w:val="0012093F"/>
    <w:rsid w:val="00120E85"/>
    <w:rsid w:val="0012242D"/>
    <w:rsid w:val="001229EC"/>
    <w:rsid w:val="00122E2D"/>
    <w:rsid w:val="00123123"/>
    <w:rsid w:val="00123350"/>
    <w:rsid w:val="00123660"/>
    <w:rsid w:val="00123932"/>
    <w:rsid w:val="00123E95"/>
    <w:rsid w:val="001243F5"/>
    <w:rsid w:val="00124893"/>
    <w:rsid w:val="00124B73"/>
    <w:rsid w:val="00124B80"/>
    <w:rsid w:val="00124CBB"/>
    <w:rsid w:val="00125028"/>
    <w:rsid w:val="0012511C"/>
    <w:rsid w:val="0012519F"/>
    <w:rsid w:val="00125200"/>
    <w:rsid w:val="001272C6"/>
    <w:rsid w:val="001276A3"/>
    <w:rsid w:val="00127B2F"/>
    <w:rsid w:val="0013153C"/>
    <w:rsid w:val="001315F8"/>
    <w:rsid w:val="00131BFA"/>
    <w:rsid w:val="00131C1A"/>
    <w:rsid w:val="0013368E"/>
    <w:rsid w:val="001337FB"/>
    <w:rsid w:val="00133A7D"/>
    <w:rsid w:val="00133E2E"/>
    <w:rsid w:val="00134E3A"/>
    <w:rsid w:val="001353C3"/>
    <w:rsid w:val="0013549B"/>
    <w:rsid w:val="00135C9C"/>
    <w:rsid w:val="00136640"/>
    <w:rsid w:val="0013690A"/>
    <w:rsid w:val="00136D2C"/>
    <w:rsid w:val="00137971"/>
    <w:rsid w:val="001407B3"/>
    <w:rsid w:val="00140AFB"/>
    <w:rsid w:val="00140CE7"/>
    <w:rsid w:val="00140D08"/>
    <w:rsid w:val="001412E3"/>
    <w:rsid w:val="00141357"/>
    <w:rsid w:val="001413AC"/>
    <w:rsid w:val="00141EB4"/>
    <w:rsid w:val="00142025"/>
    <w:rsid w:val="00142268"/>
    <w:rsid w:val="00142436"/>
    <w:rsid w:val="00143203"/>
    <w:rsid w:val="00143FF5"/>
    <w:rsid w:val="0014445D"/>
    <w:rsid w:val="001448CC"/>
    <w:rsid w:val="00144A23"/>
    <w:rsid w:val="00144A71"/>
    <w:rsid w:val="00144D15"/>
    <w:rsid w:val="00144D66"/>
    <w:rsid w:val="00144F58"/>
    <w:rsid w:val="0014551A"/>
    <w:rsid w:val="0014580A"/>
    <w:rsid w:val="00145A00"/>
    <w:rsid w:val="00145AF2"/>
    <w:rsid w:val="00145D59"/>
    <w:rsid w:val="0014650D"/>
    <w:rsid w:val="00146BF4"/>
    <w:rsid w:val="001471D3"/>
    <w:rsid w:val="0014723F"/>
    <w:rsid w:val="001506F2"/>
    <w:rsid w:val="0015076A"/>
    <w:rsid w:val="00151227"/>
    <w:rsid w:val="0015143E"/>
    <w:rsid w:val="0015164F"/>
    <w:rsid w:val="0015381A"/>
    <w:rsid w:val="00153CA8"/>
    <w:rsid w:val="0015440D"/>
    <w:rsid w:val="0015469C"/>
    <w:rsid w:val="001548BE"/>
    <w:rsid w:val="00155809"/>
    <w:rsid w:val="00155BD3"/>
    <w:rsid w:val="001562FC"/>
    <w:rsid w:val="00157421"/>
    <w:rsid w:val="00157591"/>
    <w:rsid w:val="00157647"/>
    <w:rsid w:val="001576F2"/>
    <w:rsid w:val="001579DB"/>
    <w:rsid w:val="00157FDB"/>
    <w:rsid w:val="001601C9"/>
    <w:rsid w:val="00160958"/>
    <w:rsid w:val="00160BC5"/>
    <w:rsid w:val="00161D73"/>
    <w:rsid w:val="0016210A"/>
    <w:rsid w:val="001622E1"/>
    <w:rsid w:val="001629B6"/>
    <w:rsid w:val="00162AB8"/>
    <w:rsid w:val="00162B1A"/>
    <w:rsid w:val="00162D88"/>
    <w:rsid w:val="00163123"/>
    <w:rsid w:val="00163464"/>
    <w:rsid w:val="00163717"/>
    <w:rsid w:val="00163722"/>
    <w:rsid w:val="00163B0D"/>
    <w:rsid w:val="0016401A"/>
    <w:rsid w:val="001642F4"/>
    <w:rsid w:val="0016454D"/>
    <w:rsid w:val="00164ACA"/>
    <w:rsid w:val="001650A4"/>
    <w:rsid w:val="001656AB"/>
    <w:rsid w:val="00165B55"/>
    <w:rsid w:val="00165B80"/>
    <w:rsid w:val="00165FDE"/>
    <w:rsid w:val="0016663E"/>
    <w:rsid w:val="0016694A"/>
    <w:rsid w:val="00166ABC"/>
    <w:rsid w:val="00167081"/>
    <w:rsid w:val="001672B6"/>
    <w:rsid w:val="00167A2C"/>
    <w:rsid w:val="001704AD"/>
    <w:rsid w:val="001709BC"/>
    <w:rsid w:val="00170F61"/>
    <w:rsid w:val="001710AF"/>
    <w:rsid w:val="00171112"/>
    <w:rsid w:val="00171116"/>
    <w:rsid w:val="001711CB"/>
    <w:rsid w:val="0017139A"/>
    <w:rsid w:val="0017149F"/>
    <w:rsid w:val="00172189"/>
    <w:rsid w:val="00172239"/>
    <w:rsid w:val="00172BE0"/>
    <w:rsid w:val="001738F1"/>
    <w:rsid w:val="00173917"/>
    <w:rsid w:val="00173918"/>
    <w:rsid w:val="00173EB6"/>
    <w:rsid w:val="001745AF"/>
    <w:rsid w:val="001746A6"/>
    <w:rsid w:val="001746E3"/>
    <w:rsid w:val="00174B66"/>
    <w:rsid w:val="00174CA9"/>
    <w:rsid w:val="00174DC2"/>
    <w:rsid w:val="00175081"/>
    <w:rsid w:val="001755B9"/>
    <w:rsid w:val="001759AA"/>
    <w:rsid w:val="001759BA"/>
    <w:rsid w:val="00175AB6"/>
    <w:rsid w:val="00175D9F"/>
    <w:rsid w:val="00175EA2"/>
    <w:rsid w:val="00176084"/>
    <w:rsid w:val="001760E2"/>
    <w:rsid w:val="001761E4"/>
    <w:rsid w:val="00176BE0"/>
    <w:rsid w:val="00176D3F"/>
    <w:rsid w:val="0017796D"/>
    <w:rsid w:val="00180019"/>
    <w:rsid w:val="00180237"/>
    <w:rsid w:val="001803A0"/>
    <w:rsid w:val="00181003"/>
    <w:rsid w:val="001812B6"/>
    <w:rsid w:val="00182040"/>
    <w:rsid w:val="00182153"/>
    <w:rsid w:val="00183655"/>
    <w:rsid w:val="00183A32"/>
    <w:rsid w:val="00183CC2"/>
    <w:rsid w:val="001842B0"/>
    <w:rsid w:val="00184462"/>
    <w:rsid w:val="0018481C"/>
    <w:rsid w:val="00184B87"/>
    <w:rsid w:val="00184ED7"/>
    <w:rsid w:val="001851B0"/>
    <w:rsid w:val="00185352"/>
    <w:rsid w:val="00185387"/>
    <w:rsid w:val="0018541A"/>
    <w:rsid w:val="0018573E"/>
    <w:rsid w:val="0018696E"/>
    <w:rsid w:val="00186E0C"/>
    <w:rsid w:val="001870A0"/>
    <w:rsid w:val="00187660"/>
    <w:rsid w:val="00190674"/>
    <w:rsid w:val="001911CB"/>
    <w:rsid w:val="001914E7"/>
    <w:rsid w:val="001927A9"/>
    <w:rsid w:val="00192ADD"/>
    <w:rsid w:val="001936A1"/>
    <w:rsid w:val="00193CAE"/>
    <w:rsid w:val="00193E4B"/>
    <w:rsid w:val="001940AB"/>
    <w:rsid w:val="001942C3"/>
    <w:rsid w:val="0019468E"/>
    <w:rsid w:val="00194FEC"/>
    <w:rsid w:val="00195081"/>
    <w:rsid w:val="0019551E"/>
    <w:rsid w:val="00195862"/>
    <w:rsid w:val="001958D3"/>
    <w:rsid w:val="00195B29"/>
    <w:rsid w:val="00196073"/>
    <w:rsid w:val="001965F9"/>
    <w:rsid w:val="00196F56"/>
    <w:rsid w:val="0019791E"/>
    <w:rsid w:val="001A0289"/>
    <w:rsid w:val="001A0483"/>
    <w:rsid w:val="001A09F4"/>
    <w:rsid w:val="001A1379"/>
    <w:rsid w:val="001A182B"/>
    <w:rsid w:val="001A1BA8"/>
    <w:rsid w:val="001A27F0"/>
    <w:rsid w:val="001A2BFE"/>
    <w:rsid w:val="001A3126"/>
    <w:rsid w:val="001A3386"/>
    <w:rsid w:val="001A3A46"/>
    <w:rsid w:val="001A3E5A"/>
    <w:rsid w:val="001A4BD3"/>
    <w:rsid w:val="001A4D08"/>
    <w:rsid w:val="001A5138"/>
    <w:rsid w:val="001A515C"/>
    <w:rsid w:val="001A534A"/>
    <w:rsid w:val="001A5664"/>
    <w:rsid w:val="001A6444"/>
    <w:rsid w:val="001A6CB5"/>
    <w:rsid w:val="001A7B6B"/>
    <w:rsid w:val="001B055F"/>
    <w:rsid w:val="001B0E67"/>
    <w:rsid w:val="001B0ECC"/>
    <w:rsid w:val="001B1AF9"/>
    <w:rsid w:val="001B1DA8"/>
    <w:rsid w:val="001B20D2"/>
    <w:rsid w:val="001B3564"/>
    <w:rsid w:val="001B3BD3"/>
    <w:rsid w:val="001B3E26"/>
    <w:rsid w:val="001B3F14"/>
    <w:rsid w:val="001B4162"/>
    <w:rsid w:val="001B4237"/>
    <w:rsid w:val="001B44D5"/>
    <w:rsid w:val="001B4888"/>
    <w:rsid w:val="001B4B30"/>
    <w:rsid w:val="001B4B46"/>
    <w:rsid w:val="001B4F58"/>
    <w:rsid w:val="001B55E8"/>
    <w:rsid w:val="001B6503"/>
    <w:rsid w:val="001B6762"/>
    <w:rsid w:val="001B6A58"/>
    <w:rsid w:val="001B6D93"/>
    <w:rsid w:val="001B6D9E"/>
    <w:rsid w:val="001C0456"/>
    <w:rsid w:val="001C161A"/>
    <w:rsid w:val="001C1FC2"/>
    <w:rsid w:val="001C3637"/>
    <w:rsid w:val="001C3645"/>
    <w:rsid w:val="001C3D13"/>
    <w:rsid w:val="001C3DE8"/>
    <w:rsid w:val="001C41AF"/>
    <w:rsid w:val="001C48E7"/>
    <w:rsid w:val="001C4DD2"/>
    <w:rsid w:val="001C4F3C"/>
    <w:rsid w:val="001C5426"/>
    <w:rsid w:val="001C5625"/>
    <w:rsid w:val="001C62C4"/>
    <w:rsid w:val="001C637E"/>
    <w:rsid w:val="001C659B"/>
    <w:rsid w:val="001C7404"/>
    <w:rsid w:val="001C763F"/>
    <w:rsid w:val="001C7886"/>
    <w:rsid w:val="001C78EA"/>
    <w:rsid w:val="001C7AA3"/>
    <w:rsid w:val="001D06D7"/>
    <w:rsid w:val="001D0C27"/>
    <w:rsid w:val="001D15FF"/>
    <w:rsid w:val="001D193F"/>
    <w:rsid w:val="001D24D1"/>
    <w:rsid w:val="001D269B"/>
    <w:rsid w:val="001D27F3"/>
    <w:rsid w:val="001D30E6"/>
    <w:rsid w:val="001D39DF"/>
    <w:rsid w:val="001D4620"/>
    <w:rsid w:val="001D524E"/>
    <w:rsid w:val="001D547B"/>
    <w:rsid w:val="001D565A"/>
    <w:rsid w:val="001D5D8D"/>
    <w:rsid w:val="001D5EB6"/>
    <w:rsid w:val="001D69E1"/>
    <w:rsid w:val="001D6C40"/>
    <w:rsid w:val="001D6E1D"/>
    <w:rsid w:val="001D7025"/>
    <w:rsid w:val="001D7440"/>
    <w:rsid w:val="001D7795"/>
    <w:rsid w:val="001E00C2"/>
    <w:rsid w:val="001E00E3"/>
    <w:rsid w:val="001E0487"/>
    <w:rsid w:val="001E0970"/>
    <w:rsid w:val="001E0F77"/>
    <w:rsid w:val="001E128E"/>
    <w:rsid w:val="001E16EB"/>
    <w:rsid w:val="001E1CBA"/>
    <w:rsid w:val="001E214C"/>
    <w:rsid w:val="001E2372"/>
    <w:rsid w:val="001E2382"/>
    <w:rsid w:val="001E3612"/>
    <w:rsid w:val="001E44C8"/>
    <w:rsid w:val="001E46DC"/>
    <w:rsid w:val="001E4DFE"/>
    <w:rsid w:val="001E5030"/>
    <w:rsid w:val="001E5394"/>
    <w:rsid w:val="001E55DA"/>
    <w:rsid w:val="001E5742"/>
    <w:rsid w:val="001E586C"/>
    <w:rsid w:val="001E6122"/>
    <w:rsid w:val="001E6629"/>
    <w:rsid w:val="001E676B"/>
    <w:rsid w:val="001E6917"/>
    <w:rsid w:val="001E702C"/>
    <w:rsid w:val="001E73FA"/>
    <w:rsid w:val="001E7701"/>
    <w:rsid w:val="001E77CB"/>
    <w:rsid w:val="001E7D60"/>
    <w:rsid w:val="001F04FE"/>
    <w:rsid w:val="001F056F"/>
    <w:rsid w:val="001F06C9"/>
    <w:rsid w:val="001F21E0"/>
    <w:rsid w:val="001F229C"/>
    <w:rsid w:val="001F27B7"/>
    <w:rsid w:val="001F29F5"/>
    <w:rsid w:val="001F2EAE"/>
    <w:rsid w:val="001F2FE1"/>
    <w:rsid w:val="001F38B1"/>
    <w:rsid w:val="001F3AD6"/>
    <w:rsid w:val="001F3AF3"/>
    <w:rsid w:val="001F4F9E"/>
    <w:rsid w:val="001F4FEB"/>
    <w:rsid w:val="001F5481"/>
    <w:rsid w:val="001F54E5"/>
    <w:rsid w:val="001F64A9"/>
    <w:rsid w:val="001F6AA2"/>
    <w:rsid w:val="001F714B"/>
    <w:rsid w:val="001F7A3F"/>
    <w:rsid w:val="00200037"/>
    <w:rsid w:val="002000F1"/>
    <w:rsid w:val="002001C0"/>
    <w:rsid w:val="00200459"/>
    <w:rsid w:val="00200512"/>
    <w:rsid w:val="0020051F"/>
    <w:rsid w:val="00200622"/>
    <w:rsid w:val="002009AD"/>
    <w:rsid w:val="00200BD4"/>
    <w:rsid w:val="002016F3"/>
    <w:rsid w:val="00201B9B"/>
    <w:rsid w:val="00201E5A"/>
    <w:rsid w:val="00201F2D"/>
    <w:rsid w:val="00201F80"/>
    <w:rsid w:val="002021F5"/>
    <w:rsid w:val="0020285E"/>
    <w:rsid w:val="00202E89"/>
    <w:rsid w:val="00203038"/>
    <w:rsid w:val="00203569"/>
    <w:rsid w:val="00203C78"/>
    <w:rsid w:val="002047DD"/>
    <w:rsid w:val="00204C47"/>
    <w:rsid w:val="00204FB4"/>
    <w:rsid w:val="002051A1"/>
    <w:rsid w:val="00205A2B"/>
    <w:rsid w:val="00205E94"/>
    <w:rsid w:val="00205FF6"/>
    <w:rsid w:val="002060BB"/>
    <w:rsid w:val="0020621B"/>
    <w:rsid w:val="002066D1"/>
    <w:rsid w:val="00207885"/>
    <w:rsid w:val="002101BB"/>
    <w:rsid w:val="002101BD"/>
    <w:rsid w:val="00210B6F"/>
    <w:rsid w:val="00211771"/>
    <w:rsid w:val="00211C67"/>
    <w:rsid w:val="00211DCD"/>
    <w:rsid w:val="002122C8"/>
    <w:rsid w:val="0021255A"/>
    <w:rsid w:val="00212B98"/>
    <w:rsid w:val="002135FA"/>
    <w:rsid w:val="00214B19"/>
    <w:rsid w:val="00214E0F"/>
    <w:rsid w:val="00214ED4"/>
    <w:rsid w:val="00215026"/>
    <w:rsid w:val="0021505B"/>
    <w:rsid w:val="0021520C"/>
    <w:rsid w:val="002152ED"/>
    <w:rsid w:val="00215588"/>
    <w:rsid w:val="0021610A"/>
    <w:rsid w:val="002165E3"/>
    <w:rsid w:val="002169ED"/>
    <w:rsid w:val="00216B2F"/>
    <w:rsid w:val="00217374"/>
    <w:rsid w:val="00217657"/>
    <w:rsid w:val="00217AC9"/>
    <w:rsid w:val="00217DF3"/>
    <w:rsid w:val="00217F4B"/>
    <w:rsid w:val="00220211"/>
    <w:rsid w:val="0022064C"/>
    <w:rsid w:val="002216FE"/>
    <w:rsid w:val="00221721"/>
    <w:rsid w:val="002220BB"/>
    <w:rsid w:val="00222456"/>
    <w:rsid w:val="00222857"/>
    <w:rsid w:val="00222B05"/>
    <w:rsid w:val="00223101"/>
    <w:rsid w:val="002234E5"/>
    <w:rsid w:val="00223928"/>
    <w:rsid w:val="00223B3B"/>
    <w:rsid w:val="00223DD9"/>
    <w:rsid w:val="00224027"/>
    <w:rsid w:val="002248EF"/>
    <w:rsid w:val="00224AE1"/>
    <w:rsid w:val="00225220"/>
    <w:rsid w:val="00225BFB"/>
    <w:rsid w:val="00226405"/>
    <w:rsid w:val="00226B17"/>
    <w:rsid w:val="00230251"/>
    <w:rsid w:val="00230ABE"/>
    <w:rsid w:val="00230D0C"/>
    <w:rsid w:val="00230EFB"/>
    <w:rsid w:val="00231034"/>
    <w:rsid w:val="00231285"/>
    <w:rsid w:val="00231312"/>
    <w:rsid w:val="00231511"/>
    <w:rsid w:val="0023178B"/>
    <w:rsid w:val="00231A15"/>
    <w:rsid w:val="00231AD5"/>
    <w:rsid w:val="00231BE6"/>
    <w:rsid w:val="00231EC5"/>
    <w:rsid w:val="00231F47"/>
    <w:rsid w:val="0023296F"/>
    <w:rsid w:val="002334FF"/>
    <w:rsid w:val="00233500"/>
    <w:rsid w:val="00233DD5"/>
    <w:rsid w:val="00234525"/>
    <w:rsid w:val="0023619A"/>
    <w:rsid w:val="00236603"/>
    <w:rsid w:val="00236ABC"/>
    <w:rsid w:val="00236D6B"/>
    <w:rsid w:val="00237EDB"/>
    <w:rsid w:val="0024025F"/>
    <w:rsid w:val="00241819"/>
    <w:rsid w:val="00241890"/>
    <w:rsid w:val="00241F21"/>
    <w:rsid w:val="00241F3D"/>
    <w:rsid w:val="00242838"/>
    <w:rsid w:val="00242CC0"/>
    <w:rsid w:val="00242D7E"/>
    <w:rsid w:val="00242F9F"/>
    <w:rsid w:val="00243016"/>
    <w:rsid w:val="00243163"/>
    <w:rsid w:val="0024385B"/>
    <w:rsid w:val="00243AA6"/>
    <w:rsid w:val="00243C02"/>
    <w:rsid w:val="002441D8"/>
    <w:rsid w:val="0024441A"/>
    <w:rsid w:val="0024455B"/>
    <w:rsid w:val="00244596"/>
    <w:rsid w:val="002446DC"/>
    <w:rsid w:val="00244890"/>
    <w:rsid w:val="002448F7"/>
    <w:rsid w:val="0024580F"/>
    <w:rsid w:val="0024622B"/>
    <w:rsid w:val="002465DD"/>
    <w:rsid w:val="00246765"/>
    <w:rsid w:val="00246EFB"/>
    <w:rsid w:val="00247237"/>
    <w:rsid w:val="00250248"/>
    <w:rsid w:val="00250ACB"/>
    <w:rsid w:val="00250D98"/>
    <w:rsid w:val="00251509"/>
    <w:rsid w:val="00251E0C"/>
    <w:rsid w:val="002521A0"/>
    <w:rsid w:val="002524BA"/>
    <w:rsid w:val="00252616"/>
    <w:rsid w:val="002530C3"/>
    <w:rsid w:val="00253F3C"/>
    <w:rsid w:val="00253F5C"/>
    <w:rsid w:val="00253FED"/>
    <w:rsid w:val="00254125"/>
    <w:rsid w:val="00254660"/>
    <w:rsid w:val="00255604"/>
    <w:rsid w:val="002561AD"/>
    <w:rsid w:val="00256F04"/>
    <w:rsid w:val="0025724D"/>
    <w:rsid w:val="00257290"/>
    <w:rsid w:val="002573C2"/>
    <w:rsid w:val="002574C3"/>
    <w:rsid w:val="002576D3"/>
    <w:rsid w:val="00257752"/>
    <w:rsid w:val="00257AF9"/>
    <w:rsid w:val="00260070"/>
    <w:rsid w:val="00260119"/>
    <w:rsid w:val="002605D2"/>
    <w:rsid w:val="00260B8E"/>
    <w:rsid w:val="00260DF4"/>
    <w:rsid w:val="00261306"/>
    <w:rsid w:val="00261B02"/>
    <w:rsid w:val="002622CB"/>
    <w:rsid w:val="00262713"/>
    <w:rsid w:val="002628CC"/>
    <w:rsid w:val="002629A4"/>
    <w:rsid w:val="0026336D"/>
    <w:rsid w:val="00263516"/>
    <w:rsid w:val="0026373A"/>
    <w:rsid w:val="002637CC"/>
    <w:rsid w:val="00263A59"/>
    <w:rsid w:val="00263E15"/>
    <w:rsid w:val="002646C8"/>
    <w:rsid w:val="002647BA"/>
    <w:rsid w:val="00265179"/>
    <w:rsid w:val="00265A21"/>
    <w:rsid w:val="00266189"/>
    <w:rsid w:val="00266A91"/>
    <w:rsid w:val="00266FA2"/>
    <w:rsid w:val="002671AE"/>
    <w:rsid w:val="0026739B"/>
    <w:rsid w:val="00267825"/>
    <w:rsid w:val="00267AF4"/>
    <w:rsid w:val="00267BCD"/>
    <w:rsid w:val="00270737"/>
    <w:rsid w:val="00270A43"/>
    <w:rsid w:val="00270C33"/>
    <w:rsid w:val="00270FB3"/>
    <w:rsid w:val="002710B6"/>
    <w:rsid w:val="0027130D"/>
    <w:rsid w:val="0027181D"/>
    <w:rsid w:val="00272086"/>
    <w:rsid w:val="002722ED"/>
    <w:rsid w:val="0027268B"/>
    <w:rsid w:val="00273470"/>
    <w:rsid w:val="00273BED"/>
    <w:rsid w:val="00273CD8"/>
    <w:rsid w:val="00274AAB"/>
    <w:rsid w:val="00275BC7"/>
    <w:rsid w:val="00276A96"/>
    <w:rsid w:val="0027776F"/>
    <w:rsid w:val="0028000F"/>
    <w:rsid w:val="002804FE"/>
    <w:rsid w:val="00280744"/>
    <w:rsid w:val="00280773"/>
    <w:rsid w:val="002809DD"/>
    <w:rsid w:val="00280C06"/>
    <w:rsid w:val="0028105B"/>
    <w:rsid w:val="0028109F"/>
    <w:rsid w:val="002811B7"/>
    <w:rsid w:val="0028139F"/>
    <w:rsid w:val="00281671"/>
    <w:rsid w:val="0028254D"/>
    <w:rsid w:val="00282BAE"/>
    <w:rsid w:val="00283634"/>
    <w:rsid w:val="0028379F"/>
    <w:rsid w:val="0028392B"/>
    <w:rsid w:val="002840AF"/>
    <w:rsid w:val="00284772"/>
    <w:rsid w:val="002849B4"/>
    <w:rsid w:val="00284C25"/>
    <w:rsid w:val="002852CD"/>
    <w:rsid w:val="00285AA8"/>
    <w:rsid w:val="00286B6F"/>
    <w:rsid w:val="00286EF7"/>
    <w:rsid w:val="0028704C"/>
    <w:rsid w:val="002874AC"/>
    <w:rsid w:val="002877D8"/>
    <w:rsid w:val="00287E0A"/>
    <w:rsid w:val="002906B9"/>
    <w:rsid w:val="002912E3"/>
    <w:rsid w:val="00291824"/>
    <w:rsid w:val="00291E1E"/>
    <w:rsid w:val="00291F4F"/>
    <w:rsid w:val="00292570"/>
    <w:rsid w:val="0029368B"/>
    <w:rsid w:val="00293F74"/>
    <w:rsid w:val="00294E01"/>
    <w:rsid w:val="00295225"/>
    <w:rsid w:val="002953F7"/>
    <w:rsid w:val="00295677"/>
    <w:rsid w:val="002957C1"/>
    <w:rsid w:val="0029628C"/>
    <w:rsid w:val="0029682D"/>
    <w:rsid w:val="00296D79"/>
    <w:rsid w:val="00296DAC"/>
    <w:rsid w:val="00296FE6"/>
    <w:rsid w:val="002971CB"/>
    <w:rsid w:val="0029746F"/>
    <w:rsid w:val="0029788F"/>
    <w:rsid w:val="002A0F20"/>
    <w:rsid w:val="002A0F26"/>
    <w:rsid w:val="002A0F55"/>
    <w:rsid w:val="002A12F1"/>
    <w:rsid w:val="002A178E"/>
    <w:rsid w:val="002A1927"/>
    <w:rsid w:val="002A1E6A"/>
    <w:rsid w:val="002A2209"/>
    <w:rsid w:val="002A2404"/>
    <w:rsid w:val="002A2695"/>
    <w:rsid w:val="002A2A81"/>
    <w:rsid w:val="002A2E1C"/>
    <w:rsid w:val="002A3B44"/>
    <w:rsid w:val="002A451A"/>
    <w:rsid w:val="002A5048"/>
    <w:rsid w:val="002A51BA"/>
    <w:rsid w:val="002A531C"/>
    <w:rsid w:val="002A5417"/>
    <w:rsid w:val="002A5576"/>
    <w:rsid w:val="002A58E5"/>
    <w:rsid w:val="002A5A87"/>
    <w:rsid w:val="002A5D1D"/>
    <w:rsid w:val="002A6413"/>
    <w:rsid w:val="002A6419"/>
    <w:rsid w:val="002A689B"/>
    <w:rsid w:val="002A698F"/>
    <w:rsid w:val="002A77C0"/>
    <w:rsid w:val="002A7C1D"/>
    <w:rsid w:val="002B015F"/>
    <w:rsid w:val="002B062D"/>
    <w:rsid w:val="002B085B"/>
    <w:rsid w:val="002B0ABC"/>
    <w:rsid w:val="002B1031"/>
    <w:rsid w:val="002B1466"/>
    <w:rsid w:val="002B1565"/>
    <w:rsid w:val="002B1A15"/>
    <w:rsid w:val="002B1E62"/>
    <w:rsid w:val="002B2616"/>
    <w:rsid w:val="002B275C"/>
    <w:rsid w:val="002B27E6"/>
    <w:rsid w:val="002B2D83"/>
    <w:rsid w:val="002B302F"/>
    <w:rsid w:val="002B4997"/>
    <w:rsid w:val="002B4B1C"/>
    <w:rsid w:val="002B5602"/>
    <w:rsid w:val="002B633C"/>
    <w:rsid w:val="002B6A2E"/>
    <w:rsid w:val="002B755C"/>
    <w:rsid w:val="002B7E73"/>
    <w:rsid w:val="002C08BB"/>
    <w:rsid w:val="002C091E"/>
    <w:rsid w:val="002C12B7"/>
    <w:rsid w:val="002C14D5"/>
    <w:rsid w:val="002C1825"/>
    <w:rsid w:val="002C1FFB"/>
    <w:rsid w:val="002C2BA2"/>
    <w:rsid w:val="002C3D9E"/>
    <w:rsid w:val="002C3E16"/>
    <w:rsid w:val="002C4204"/>
    <w:rsid w:val="002C438E"/>
    <w:rsid w:val="002C45A0"/>
    <w:rsid w:val="002C46D0"/>
    <w:rsid w:val="002C480C"/>
    <w:rsid w:val="002C4847"/>
    <w:rsid w:val="002C4DF6"/>
    <w:rsid w:val="002C5253"/>
    <w:rsid w:val="002C54B2"/>
    <w:rsid w:val="002C55D2"/>
    <w:rsid w:val="002C69C3"/>
    <w:rsid w:val="002C6C9C"/>
    <w:rsid w:val="002C6D8E"/>
    <w:rsid w:val="002C7127"/>
    <w:rsid w:val="002C714E"/>
    <w:rsid w:val="002C7BEE"/>
    <w:rsid w:val="002C7E62"/>
    <w:rsid w:val="002D00FA"/>
    <w:rsid w:val="002D03F0"/>
    <w:rsid w:val="002D0550"/>
    <w:rsid w:val="002D0870"/>
    <w:rsid w:val="002D099A"/>
    <w:rsid w:val="002D0B08"/>
    <w:rsid w:val="002D0B59"/>
    <w:rsid w:val="002D119D"/>
    <w:rsid w:val="002D1888"/>
    <w:rsid w:val="002D1F88"/>
    <w:rsid w:val="002D21FD"/>
    <w:rsid w:val="002D2DE0"/>
    <w:rsid w:val="002D2E97"/>
    <w:rsid w:val="002D2FA2"/>
    <w:rsid w:val="002D303A"/>
    <w:rsid w:val="002D3393"/>
    <w:rsid w:val="002D3598"/>
    <w:rsid w:val="002D3654"/>
    <w:rsid w:val="002D3758"/>
    <w:rsid w:val="002D45D9"/>
    <w:rsid w:val="002D500C"/>
    <w:rsid w:val="002D5862"/>
    <w:rsid w:val="002D5C2E"/>
    <w:rsid w:val="002D5CD9"/>
    <w:rsid w:val="002D65A3"/>
    <w:rsid w:val="002D6ADA"/>
    <w:rsid w:val="002D6B94"/>
    <w:rsid w:val="002D6C58"/>
    <w:rsid w:val="002D74B6"/>
    <w:rsid w:val="002D7A99"/>
    <w:rsid w:val="002D7AA8"/>
    <w:rsid w:val="002D7B18"/>
    <w:rsid w:val="002E020B"/>
    <w:rsid w:val="002E08FB"/>
    <w:rsid w:val="002E0E5C"/>
    <w:rsid w:val="002E0F0F"/>
    <w:rsid w:val="002E1519"/>
    <w:rsid w:val="002E1D93"/>
    <w:rsid w:val="002E1E1E"/>
    <w:rsid w:val="002E1F29"/>
    <w:rsid w:val="002E1FD1"/>
    <w:rsid w:val="002E20E3"/>
    <w:rsid w:val="002E2131"/>
    <w:rsid w:val="002E281D"/>
    <w:rsid w:val="002E2C44"/>
    <w:rsid w:val="002E41E6"/>
    <w:rsid w:val="002E48AD"/>
    <w:rsid w:val="002E48E7"/>
    <w:rsid w:val="002E490C"/>
    <w:rsid w:val="002E496F"/>
    <w:rsid w:val="002E53B5"/>
    <w:rsid w:val="002E5985"/>
    <w:rsid w:val="002E5C1F"/>
    <w:rsid w:val="002E6419"/>
    <w:rsid w:val="002E6E0F"/>
    <w:rsid w:val="002E724F"/>
    <w:rsid w:val="002E72B7"/>
    <w:rsid w:val="002F0101"/>
    <w:rsid w:val="002F12F3"/>
    <w:rsid w:val="002F143F"/>
    <w:rsid w:val="002F1B42"/>
    <w:rsid w:val="002F1EF7"/>
    <w:rsid w:val="002F2A37"/>
    <w:rsid w:val="002F2E11"/>
    <w:rsid w:val="002F34DA"/>
    <w:rsid w:val="002F3B31"/>
    <w:rsid w:val="002F3C57"/>
    <w:rsid w:val="002F3FEC"/>
    <w:rsid w:val="002F4477"/>
    <w:rsid w:val="002F46BB"/>
    <w:rsid w:val="002F4A92"/>
    <w:rsid w:val="002F5D6C"/>
    <w:rsid w:val="002F6798"/>
    <w:rsid w:val="002F72E8"/>
    <w:rsid w:val="002F739C"/>
    <w:rsid w:val="00300348"/>
    <w:rsid w:val="00300503"/>
    <w:rsid w:val="00300E7D"/>
    <w:rsid w:val="00300FBF"/>
    <w:rsid w:val="00301228"/>
    <w:rsid w:val="0030126E"/>
    <w:rsid w:val="00301987"/>
    <w:rsid w:val="00302B2E"/>
    <w:rsid w:val="0030344B"/>
    <w:rsid w:val="003037DE"/>
    <w:rsid w:val="0030385E"/>
    <w:rsid w:val="00303A12"/>
    <w:rsid w:val="00303D9C"/>
    <w:rsid w:val="00303E37"/>
    <w:rsid w:val="00303E4C"/>
    <w:rsid w:val="00304016"/>
    <w:rsid w:val="00304077"/>
    <w:rsid w:val="003042B9"/>
    <w:rsid w:val="00304578"/>
    <w:rsid w:val="00305140"/>
    <w:rsid w:val="00305221"/>
    <w:rsid w:val="00305715"/>
    <w:rsid w:val="00305A9C"/>
    <w:rsid w:val="00305C6E"/>
    <w:rsid w:val="00305CCE"/>
    <w:rsid w:val="00306115"/>
    <w:rsid w:val="003063A8"/>
    <w:rsid w:val="003064B0"/>
    <w:rsid w:val="003068E2"/>
    <w:rsid w:val="00306ABE"/>
    <w:rsid w:val="00306AFA"/>
    <w:rsid w:val="0030788F"/>
    <w:rsid w:val="00307A6A"/>
    <w:rsid w:val="003100DF"/>
    <w:rsid w:val="003101F7"/>
    <w:rsid w:val="003104EB"/>
    <w:rsid w:val="003107DA"/>
    <w:rsid w:val="00310C72"/>
    <w:rsid w:val="003112DB"/>
    <w:rsid w:val="00311607"/>
    <w:rsid w:val="00311F50"/>
    <w:rsid w:val="00311F64"/>
    <w:rsid w:val="003121D3"/>
    <w:rsid w:val="003123FE"/>
    <w:rsid w:val="0031296B"/>
    <w:rsid w:val="00312A3A"/>
    <w:rsid w:val="00312CC1"/>
    <w:rsid w:val="003131AD"/>
    <w:rsid w:val="003132B3"/>
    <w:rsid w:val="003142F9"/>
    <w:rsid w:val="00314DB9"/>
    <w:rsid w:val="003150C9"/>
    <w:rsid w:val="003156CE"/>
    <w:rsid w:val="003157DF"/>
    <w:rsid w:val="00315CB3"/>
    <w:rsid w:val="00316430"/>
    <w:rsid w:val="00316766"/>
    <w:rsid w:val="003170C6"/>
    <w:rsid w:val="00317233"/>
    <w:rsid w:val="0031725E"/>
    <w:rsid w:val="0031789E"/>
    <w:rsid w:val="00317937"/>
    <w:rsid w:val="0032012D"/>
    <w:rsid w:val="00320A56"/>
    <w:rsid w:val="00321263"/>
    <w:rsid w:val="0032150E"/>
    <w:rsid w:val="00321A33"/>
    <w:rsid w:val="00321E23"/>
    <w:rsid w:val="00321F2D"/>
    <w:rsid w:val="00321FC2"/>
    <w:rsid w:val="00322CB7"/>
    <w:rsid w:val="003230BD"/>
    <w:rsid w:val="00323484"/>
    <w:rsid w:val="00323688"/>
    <w:rsid w:val="00323A3E"/>
    <w:rsid w:val="00324522"/>
    <w:rsid w:val="003247FD"/>
    <w:rsid w:val="00324D30"/>
    <w:rsid w:val="00325052"/>
    <w:rsid w:val="00325244"/>
    <w:rsid w:val="00326168"/>
    <w:rsid w:val="0032621E"/>
    <w:rsid w:val="00326275"/>
    <w:rsid w:val="003265D8"/>
    <w:rsid w:val="003267F4"/>
    <w:rsid w:val="00326967"/>
    <w:rsid w:val="00326A69"/>
    <w:rsid w:val="0032719F"/>
    <w:rsid w:val="003273CD"/>
    <w:rsid w:val="00327490"/>
    <w:rsid w:val="003303E3"/>
    <w:rsid w:val="0033043F"/>
    <w:rsid w:val="0033066B"/>
    <w:rsid w:val="003309C5"/>
    <w:rsid w:val="00330E13"/>
    <w:rsid w:val="0033168B"/>
    <w:rsid w:val="0033176E"/>
    <w:rsid w:val="003324F7"/>
    <w:rsid w:val="00332611"/>
    <w:rsid w:val="003327B8"/>
    <w:rsid w:val="00332FC7"/>
    <w:rsid w:val="00333A54"/>
    <w:rsid w:val="00333EB6"/>
    <w:rsid w:val="003340CF"/>
    <w:rsid w:val="00334277"/>
    <w:rsid w:val="00334A0E"/>
    <w:rsid w:val="00334D87"/>
    <w:rsid w:val="0033526E"/>
    <w:rsid w:val="003355C2"/>
    <w:rsid w:val="00335AF4"/>
    <w:rsid w:val="00335EF5"/>
    <w:rsid w:val="003363E1"/>
    <w:rsid w:val="00336707"/>
    <w:rsid w:val="00336A57"/>
    <w:rsid w:val="00337567"/>
    <w:rsid w:val="0033784C"/>
    <w:rsid w:val="00337BE6"/>
    <w:rsid w:val="003406B7"/>
    <w:rsid w:val="00340743"/>
    <w:rsid w:val="00340CE1"/>
    <w:rsid w:val="0034230B"/>
    <w:rsid w:val="00342824"/>
    <w:rsid w:val="00343700"/>
    <w:rsid w:val="00343886"/>
    <w:rsid w:val="00344978"/>
    <w:rsid w:val="0034536A"/>
    <w:rsid w:val="003453DA"/>
    <w:rsid w:val="00345BF7"/>
    <w:rsid w:val="00346C94"/>
    <w:rsid w:val="00347972"/>
    <w:rsid w:val="00347B30"/>
    <w:rsid w:val="00350054"/>
    <w:rsid w:val="00351EEC"/>
    <w:rsid w:val="00352001"/>
    <w:rsid w:val="00352FD7"/>
    <w:rsid w:val="0035382C"/>
    <w:rsid w:val="00353FAC"/>
    <w:rsid w:val="0035408D"/>
    <w:rsid w:val="00354B3B"/>
    <w:rsid w:val="00354CF3"/>
    <w:rsid w:val="003550E1"/>
    <w:rsid w:val="00355E18"/>
    <w:rsid w:val="00355F10"/>
    <w:rsid w:val="0035613C"/>
    <w:rsid w:val="0035660D"/>
    <w:rsid w:val="00356BA8"/>
    <w:rsid w:val="00356E78"/>
    <w:rsid w:val="00357683"/>
    <w:rsid w:val="003578C0"/>
    <w:rsid w:val="0035794B"/>
    <w:rsid w:val="00357C1F"/>
    <w:rsid w:val="00357EBF"/>
    <w:rsid w:val="00360B89"/>
    <w:rsid w:val="00361106"/>
    <w:rsid w:val="00362530"/>
    <w:rsid w:val="00362D7C"/>
    <w:rsid w:val="00363953"/>
    <w:rsid w:val="00363A5F"/>
    <w:rsid w:val="00363FAF"/>
    <w:rsid w:val="003649B9"/>
    <w:rsid w:val="00365214"/>
    <w:rsid w:val="003653AC"/>
    <w:rsid w:val="003660E5"/>
    <w:rsid w:val="00366377"/>
    <w:rsid w:val="00366577"/>
    <w:rsid w:val="00366C51"/>
    <w:rsid w:val="003677E8"/>
    <w:rsid w:val="00367C9B"/>
    <w:rsid w:val="00367DDA"/>
    <w:rsid w:val="00367F17"/>
    <w:rsid w:val="00367F5C"/>
    <w:rsid w:val="003703EC"/>
    <w:rsid w:val="003704D5"/>
    <w:rsid w:val="003713BB"/>
    <w:rsid w:val="00371BE6"/>
    <w:rsid w:val="003721D0"/>
    <w:rsid w:val="0037328C"/>
    <w:rsid w:val="0037348B"/>
    <w:rsid w:val="00373821"/>
    <w:rsid w:val="00373828"/>
    <w:rsid w:val="00373E03"/>
    <w:rsid w:val="0037422E"/>
    <w:rsid w:val="00374772"/>
    <w:rsid w:val="00375082"/>
    <w:rsid w:val="00375412"/>
    <w:rsid w:val="003757B4"/>
    <w:rsid w:val="003758FD"/>
    <w:rsid w:val="0037620E"/>
    <w:rsid w:val="00376639"/>
    <w:rsid w:val="00376CEF"/>
    <w:rsid w:val="00377B89"/>
    <w:rsid w:val="00377E8C"/>
    <w:rsid w:val="00380E72"/>
    <w:rsid w:val="0038117B"/>
    <w:rsid w:val="003815DE"/>
    <w:rsid w:val="00381711"/>
    <w:rsid w:val="00381734"/>
    <w:rsid w:val="00382445"/>
    <w:rsid w:val="00382799"/>
    <w:rsid w:val="00382948"/>
    <w:rsid w:val="00382E2F"/>
    <w:rsid w:val="003831CB"/>
    <w:rsid w:val="00383229"/>
    <w:rsid w:val="00383824"/>
    <w:rsid w:val="00383B3F"/>
    <w:rsid w:val="00383DB9"/>
    <w:rsid w:val="003840CD"/>
    <w:rsid w:val="00384659"/>
    <w:rsid w:val="003847AE"/>
    <w:rsid w:val="0038481A"/>
    <w:rsid w:val="00384ADB"/>
    <w:rsid w:val="00384BA2"/>
    <w:rsid w:val="003852C0"/>
    <w:rsid w:val="003854D1"/>
    <w:rsid w:val="00385C5D"/>
    <w:rsid w:val="00385DC2"/>
    <w:rsid w:val="003862CE"/>
    <w:rsid w:val="00386474"/>
    <w:rsid w:val="00386686"/>
    <w:rsid w:val="00386C68"/>
    <w:rsid w:val="00387080"/>
    <w:rsid w:val="003872B7"/>
    <w:rsid w:val="0038761D"/>
    <w:rsid w:val="003909F6"/>
    <w:rsid w:val="00390B67"/>
    <w:rsid w:val="003918B4"/>
    <w:rsid w:val="00391A6B"/>
    <w:rsid w:val="003920BB"/>
    <w:rsid w:val="00392678"/>
    <w:rsid w:val="00392849"/>
    <w:rsid w:val="00393254"/>
    <w:rsid w:val="00393269"/>
    <w:rsid w:val="003932DA"/>
    <w:rsid w:val="0039342B"/>
    <w:rsid w:val="0039362F"/>
    <w:rsid w:val="003938E2"/>
    <w:rsid w:val="003939D2"/>
    <w:rsid w:val="00394023"/>
    <w:rsid w:val="00394874"/>
    <w:rsid w:val="0039516C"/>
    <w:rsid w:val="00395621"/>
    <w:rsid w:val="00395C79"/>
    <w:rsid w:val="00396457"/>
    <w:rsid w:val="00396681"/>
    <w:rsid w:val="00396801"/>
    <w:rsid w:val="003971FA"/>
    <w:rsid w:val="0039754B"/>
    <w:rsid w:val="003976CD"/>
    <w:rsid w:val="00397A68"/>
    <w:rsid w:val="00397F8B"/>
    <w:rsid w:val="003A07E9"/>
    <w:rsid w:val="003A0A0F"/>
    <w:rsid w:val="003A0D43"/>
    <w:rsid w:val="003A1395"/>
    <w:rsid w:val="003A1565"/>
    <w:rsid w:val="003A1612"/>
    <w:rsid w:val="003A19FF"/>
    <w:rsid w:val="003A204E"/>
    <w:rsid w:val="003A2C1D"/>
    <w:rsid w:val="003A32FD"/>
    <w:rsid w:val="003A3A1B"/>
    <w:rsid w:val="003A46AE"/>
    <w:rsid w:val="003A4BD9"/>
    <w:rsid w:val="003A4D1F"/>
    <w:rsid w:val="003A4FCF"/>
    <w:rsid w:val="003A4FE5"/>
    <w:rsid w:val="003A553C"/>
    <w:rsid w:val="003A6028"/>
    <w:rsid w:val="003A6257"/>
    <w:rsid w:val="003A6361"/>
    <w:rsid w:val="003A65A2"/>
    <w:rsid w:val="003A66ED"/>
    <w:rsid w:val="003A7000"/>
    <w:rsid w:val="003A7034"/>
    <w:rsid w:val="003A7485"/>
    <w:rsid w:val="003A76A8"/>
    <w:rsid w:val="003A7D43"/>
    <w:rsid w:val="003A7F4B"/>
    <w:rsid w:val="003B0342"/>
    <w:rsid w:val="003B0B70"/>
    <w:rsid w:val="003B158B"/>
    <w:rsid w:val="003B1C72"/>
    <w:rsid w:val="003B1F15"/>
    <w:rsid w:val="003B25FD"/>
    <w:rsid w:val="003B265D"/>
    <w:rsid w:val="003B37FB"/>
    <w:rsid w:val="003B38A6"/>
    <w:rsid w:val="003B39EE"/>
    <w:rsid w:val="003B3C12"/>
    <w:rsid w:val="003B3D64"/>
    <w:rsid w:val="003B402A"/>
    <w:rsid w:val="003B44C4"/>
    <w:rsid w:val="003B4A69"/>
    <w:rsid w:val="003B4C47"/>
    <w:rsid w:val="003B4CA4"/>
    <w:rsid w:val="003B4ED6"/>
    <w:rsid w:val="003B5337"/>
    <w:rsid w:val="003B5397"/>
    <w:rsid w:val="003B5597"/>
    <w:rsid w:val="003B5816"/>
    <w:rsid w:val="003B5F32"/>
    <w:rsid w:val="003B6039"/>
    <w:rsid w:val="003B6690"/>
    <w:rsid w:val="003B6DA9"/>
    <w:rsid w:val="003B7D45"/>
    <w:rsid w:val="003B7DBF"/>
    <w:rsid w:val="003C03FB"/>
    <w:rsid w:val="003C0591"/>
    <w:rsid w:val="003C0E08"/>
    <w:rsid w:val="003C119B"/>
    <w:rsid w:val="003C1891"/>
    <w:rsid w:val="003C1AC5"/>
    <w:rsid w:val="003C1BB7"/>
    <w:rsid w:val="003C1BFA"/>
    <w:rsid w:val="003C2043"/>
    <w:rsid w:val="003C30FB"/>
    <w:rsid w:val="003C332C"/>
    <w:rsid w:val="003C3559"/>
    <w:rsid w:val="003C3660"/>
    <w:rsid w:val="003C385D"/>
    <w:rsid w:val="003C3BBD"/>
    <w:rsid w:val="003C3E74"/>
    <w:rsid w:val="003C4410"/>
    <w:rsid w:val="003C4AE8"/>
    <w:rsid w:val="003C4B93"/>
    <w:rsid w:val="003C55BE"/>
    <w:rsid w:val="003C64D0"/>
    <w:rsid w:val="003C6740"/>
    <w:rsid w:val="003C6DD0"/>
    <w:rsid w:val="003C6E1D"/>
    <w:rsid w:val="003C70D3"/>
    <w:rsid w:val="003C72A7"/>
    <w:rsid w:val="003C7349"/>
    <w:rsid w:val="003C74B8"/>
    <w:rsid w:val="003C7AA9"/>
    <w:rsid w:val="003C7F23"/>
    <w:rsid w:val="003D03FE"/>
    <w:rsid w:val="003D070A"/>
    <w:rsid w:val="003D11F5"/>
    <w:rsid w:val="003D1A83"/>
    <w:rsid w:val="003D1D24"/>
    <w:rsid w:val="003D295D"/>
    <w:rsid w:val="003D2EB0"/>
    <w:rsid w:val="003D3B17"/>
    <w:rsid w:val="003D3CFA"/>
    <w:rsid w:val="003D4126"/>
    <w:rsid w:val="003D4BE7"/>
    <w:rsid w:val="003D5228"/>
    <w:rsid w:val="003D5319"/>
    <w:rsid w:val="003D5D50"/>
    <w:rsid w:val="003D5E42"/>
    <w:rsid w:val="003D5E79"/>
    <w:rsid w:val="003D644F"/>
    <w:rsid w:val="003D65FF"/>
    <w:rsid w:val="003D6865"/>
    <w:rsid w:val="003D69AB"/>
    <w:rsid w:val="003D6D1B"/>
    <w:rsid w:val="003D6D71"/>
    <w:rsid w:val="003D6D7A"/>
    <w:rsid w:val="003D6F9C"/>
    <w:rsid w:val="003D7798"/>
    <w:rsid w:val="003D7B09"/>
    <w:rsid w:val="003E0D55"/>
    <w:rsid w:val="003E0DB2"/>
    <w:rsid w:val="003E0FAB"/>
    <w:rsid w:val="003E0FC3"/>
    <w:rsid w:val="003E1551"/>
    <w:rsid w:val="003E17CA"/>
    <w:rsid w:val="003E188C"/>
    <w:rsid w:val="003E1CFB"/>
    <w:rsid w:val="003E20A2"/>
    <w:rsid w:val="003E21BF"/>
    <w:rsid w:val="003E2888"/>
    <w:rsid w:val="003E35AF"/>
    <w:rsid w:val="003E3B35"/>
    <w:rsid w:val="003E4304"/>
    <w:rsid w:val="003E4443"/>
    <w:rsid w:val="003E482D"/>
    <w:rsid w:val="003E57BE"/>
    <w:rsid w:val="003E60BA"/>
    <w:rsid w:val="003E67E1"/>
    <w:rsid w:val="003E6A9B"/>
    <w:rsid w:val="003E7238"/>
    <w:rsid w:val="003F048C"/>
    <w:rsid w:val="003F04E7"/>
    <w:rsid w:val="003F091E"/>
    <w:rsid w:val="003F09F3"/>
    <w:rsid w:val="003F10CF"/>
    <w:rsid w:val="003F14C3"/>
    <w:rsid w:val="003F1E8A"/>
    <w:rsid w:val="003F2295"/>
    <w:rsid w:val="003F2589"/>
    <w:rsid w:val="003F2C85"/>
    <w:rsid w:val="003F2CDC"/>
    <w:rsid w:val="003F2D12"/>
    <w:rsid w:val="003F308C"/>
    <w:rsid w:val="003F3900"/>
    <w:rsid w:val="003F39D9"/>
    <w:rsid w:val="003F3C38"/>
    <w:rsid w:val="003F41F3"/>
    <w:rsid w:val="003F5182"/>
    <w:rsid w:val="003F5A2E"/>
    <w:rsid w:val="003F6220"/>
    <w:rsid w:val="003F6655"/>
    <w:rsid w:val="003F6B44"/>
    <w:rsid w:val="003F6C3E"/>
    <w:rsid w:val="003F6E06"/>
    <w:rsid w:val="003F6EC3"/>
    <w:rsid w:val="003F739F"/>
    <w:rsid w:val="003F7689"/>
    <w:rsid w:val="003F78B1"/>
    <w:rsid w:val="003F7ECC"/>
    <w:rsid w:val="0040024E"/>
    <w:rsid w:val="0040051F"/>
    <w:rsid w:val="0040060B"/>
    <w:rsid w:val="00401062"/>
    <w:rsid w:val="00401142"/>
    <w:rsid w:val="00401601"/>
    <w:rsid w:val="004017D3"/>
    <w:rsid w:val="00401B83"/>
    <w:rsid w:val="00402000"/>
    <w:rsid w:val="0040277C"/>
    <w:rsid w:val="004027F2"/>
    <w:rsid w:val="00402A59"/>
    <w:rsid w:val="00403C08"/>
    <w:rsid w:val="00403DF6"/>
    <w:rsid w:val="0040464D"/>
    <w:rsid w:val="00404B7A"/>
    <w:rsid w:val="00404C03"/>
    <w:rsid w:val="00405080"/>
    <w:rsid w:val="00405505"/>
    <w:rsid w:val="0040594D"/>
    <w:rsid w:val="004065CF"/>
    <w:rsid w:val="00406697"/>
    <w:rsid w:val="00406C8F"/>
    <w:rsid w:val="004070EA"/>
    <w:rsid w:val="00407125"/>
    <w:rsid w:val="004071A8"/>
    <w:rsid w:val="00410448"/>
    <w:rsid w:val="00411087"/>
    <w:rsid w:val="0041110E"/>
    <w:rsid w:val="00411497"/>
    <w:rsid w:val="0041176F"/>
    <w:rsid w:val="004121F5"/>
    <w:rsid w:val="0041241A"/>
    <w:rsid w:val="004126AC"/>
    <w:rsid w:val="00413F95"/>
    <w:rsid w:val="00414055"/>
    <w:rsid w:val="00414A55"/>
    <w:rsid w:val="00414B85"/>
    <w:rsid w:val="00414C3C"/>
    <w:rsid w:val="00414FC1"/>
    <w:rsid w:val="0041521D"/>
    <w:rsid w:val="0041529A"/>
    <w:rsid w:val="00415609"/>
    <w:rsid w:val="00415673"/>
    <w:rsid w:val="004156D0"/>
    <w:rsid w:val="00415AE7"/>
    <w:rsid w:val="00415B69"/>
    <w:rsid w:val="00415C49"/>
    <w:rsid w:val="004160C1"/>
    <w:rsid w:val="00416D20"/>
    <w:rsid w:val="0041701F"/>
    <w:rsid w:val="0041709C"/>
    <w:rsid w:val="0041731E"/>
    <w:rsid w:val="00417679"/>
    <w:rsid w:val="00417A6D"/>
    <w:rsid w:val="00420523"/>
    <w:rsid w:val="00420608"/>
    <w:rsid w:val="00420756"/>
    <w:rsid w:val="00420767"/>
    <w:rsid w:val="00420BBA"/>
    <w:rsid w:val="0042168F"/>
    <w:rsid w:val="00421BEC"/>
    <w:rsid w:val="00421C24"/>
    <w:rsid w:val="00421EDC"/>
    <w:rsid w:val="00422D37"/>
    <w:rsid w:val="00423096"/>
    <w:rsid w:val="004234F7"/>
    <w:rsid w:val="00424A1B"/>
    <w:rsid w:val="00424BCD"/>
    <w:rsid w:val="00424E75"/>
    <w:rsid w:val="00425016"/>
    <w:rsid w:val="0042517B"/>
    <w:rsid w:val="004256BD"/>
    <w:rsid w:val="00425771"/>
    <w:rsid w:val="004307FF"/>
    <w:rsid w:val="00430A18"/>
    <w:rsid w:val="004312F1"/>
    <w:rsid w:val="004318AF"/>
    <w:rsid w:val="00431E17"/>
    <w:rsid w:val="00432034"/>
    <w:rsid w:val="00432461"/>
    <w:rsid w:val="004324DA"/>
    <w:rsid w:val="00433B16"/>
    <w:rsid w:val="00434137"/>
    <w:rsid w:val="0043416E"/>
    <w:rsid w:val="00434280"/>
    <w:rsid w:val="00434307"/>
    <w:rsid w:val="00434557"/>
    <w:rsid w:val="004347BF"/>
    <w:rsid w:val="00434CBE"/>
    <w:rsid w:val="0043501B"/>
    <w:rsid w:val="00435EA3"/>
    <w:rsid w:val="00436B3E"/>
    <w:rsid w:val="00437005"/>
    <w:rsid w:val="004373E3"/>
    <w:rsid w:val="004374D6"/>
    <w:rsid w:val="00437C33"/>
    <w:rsid w:val="00437F8E"/>
    <w:rsid w:val="004400B0"/>
    <w:rsid w:val="004403F9"/>
    <w:rsid w:val="004410E4"/>
    <w:rsid w:val="00441314"/>
    <w:rsid w:val="00442413"/>
    <w:rsid w:val="0044244B"/>
    <w:rsid w:val="004427D7"/>
    <w:rsid w:val="00442849"/>
    <w:rsid w:val="004429A1"/>
    <w:rsid w:val="004429FC"/>
    <w:rsid w:val="00442AB2"/>
    <w:rsid w:val="00442C3C"/>
    <w:rsid w:val="00442FE2"/>
    <w:rsid w:val="004430C8"/>
    <w:rsid w:val="00443317"/>
    <w:rsid w:val="0044354B"/>
    <w:rsid w:val="0044358F"/>
    <w:rsid w:val="004442AE"/>
    <w:rsid w:val="00444786"/>
    <w:rsid w:val="004448F4"/>
    <w:rsid w:val="00444AF1"/>
    <w:rsid w:val="00444B1D"/>
    <w:rsid w:val="004452F8"/>
    <w:rsid w:val="00445BF0"/>
    <w:rsid w:val="00445DDB"/>
    <w:rsid w:val="00446237"/>
    <w:rsid w:val="0044668D"/>
    <w:rsid w:val="00447529"/>
    <w:rsid w:val="00447B67"/>
    <w:rsid w:val="00447E90"/>
    <w:rsid w:val="00450401"/>
    <w:rsid w:val="00450CF5"/>
    <w:rsid w:val="004511F6"/>
    <w:rsid w:val="004513DB"/>
    <w:rsid w:val="00451864"/>
    <w:rsid w:val="004518B7"/>
    <w:rsid w:val="00451CA5"/>
    <w:rsid w:val="00451F9C"/>
    <w:rsid w:val="00452074"/>
    <w:rsid w:val="0045220D"/>
    <w:rsid w:val="00452520"/>
    <w:rsid w:val="00452736"/>
    <w:rsid w:val="00452895"/>
    <w:rsid w:val="00452E25"/>
    <w:rsid w:val="0045389C"/>
    <w:rsid w:val="00453DBE"/>
    <w:rsid w:val="00454473"/>
    <w:rsid w:val="004545EB"/>
    <w:rsid w:val="00454A2C"/>
    <w:rsid w:val="00454E14"/>
    <w:rsid w:val="00454E73"/>
    <w:rsid w:val="00455762"/>
    <w:rsid w:val="004558BB"/>
    <w:rsid w:val="00456349"/>
    <w:rsid w:val="004569FD"/>
    <w:rsid w:val="00456A43"/>
    <w:rsid w:val="00456C85"/>
    <w:rsid w:val="00456F4F"/>
    <w:rsid w:val="00457183"/>
    <w:rsid w:val="004573FA"/>
    <w:rsid w:val="00457E0B"/>
    <w:rsid w:val="00457E7C"/>
    <w:rsid w:val="00460BC3"/>
    <w:rsid w:val="004610FF"/>
    <w:rsid w:val="004613DF"/>
    <w:rsid w:val="004614DB"/>
    <w:rsid w:val="004616EE"/>
    <w:rsid w:val="00461A7C"/>
    <w:rsid w:val="00461B06"/>
    <w:rsid w:val="004620E9"/>
    <w:rsid w:val="004631B8"/>
    <w:rsid w:val="00463C57"/>
    <w:rsid w:val="00463C87"/>
    <w:rsid w:val="00463E46"/>
    <w:rsid w:val="004646D5"/>
    <w:rsid w:val="00464E5E"/>
    <w:rsid w:val="0046506E"/>
    <w:rsid w:val="00465434"/>
    <w:rsid w:val="00465609"/>
    <w:rsid w:val="004658DA"/>
    <w:rsid w:val="00465BDF"/>
    <w:rsid w:val="00465D48"/>
    <w:rsid w:val="00466595"/>
    <w:rsid w:val="00466C90"/>
    <w:rsid w:val="00467236"/>
    <w:rsid w:val="004676E4"/>
    <w:rsid w:val="00467A06"/>
    <w:rsid w:val="00467A37"/>
    <w:rsid w:val="00467DAF"/>
    <w:rsid w:val="00470846"/>
    <w:rsid w:val="004710CC"/>
    <w:rsid w:val="004710E0"/>
    <w:rsid w:val="004718EF"/>
    <w:rsid w:val="004719EE"/>
    <w:rsid w:val="00471A2E"/>
    <w:rsid w:val="00471B50"/>
    <w:rsid w:val="00472338"/>
    <w:rsid w:val="00472383"/>
    <w:rsid w:val="00472407"/>
    <w:rsid w:val="00472598"/>
    <w:rsid w:val="0047264A"/>
    <w:rsid w:val="00472D41"/>
    <w:rsid w:val="00472DE2"/>
    <w:rsid w:val="00472EAF"/>
    <w:rsid w:val="00472ED5"/>
    <w:rsid w:val="0047397F"/>
    <w:rsid w:val="004739AF"/>
    <w:rsid w:val="00473C56"/>
    <w:rsid w:val="00473CD2"/>
    <w:rsid w:val="00473D54"/>
    <w:rsid w:val="00473E37"/>
    <w:rsid w:val="00474C69"/>
    <w:rsid w:val="004752DD"/>
    <w:rsid w:val="0047532F"/>
    <w:rsid w:val="0047554E"/>
    <w:rsid w:val="004757F0"/>
    <w:rsid w:val="004762F3"/>
    <w:rsid w:val="004766F1"/>
    <w:rsid w:val="004767AD"/>
    <w:rsid w:val="00476806"/>
    <w:rsid w:val="00476DA4"/>
    <w:rsid w:val="00477DCA"/>
    <w:rsid w:val="004806DB"/>
    <w:rsid w:val="004809CA"/>
    <w:rsid w:val="00480DDF"/>
    <w:rsid w:val="00480EAB"/>
    <w:rsid w:val="004812C7"/>
    <w:rsid w:val="00481486"/>
    <w:rsid w:val="004816A5"/>
    <w:rsid w:val="0048187B"/>
    <w:rsid w:val="00483693"/>
    <w:rsid w:val="00483789"/>
    <w:rsid w:val="00483B94"/>
    <w:rsid w:val="00483C4F"/>
    <w:rsid w:val="004842C6"/>
    <w:rsid w:val="0048498B"/>
    <w:rsid w:val="0048499D"/>
    <w:rsid w:val="00485F96"/>
    <w:rsid w:val="004862A3"/>
    <w:rsid w:val="00486B34"/>
    <w:rsid w:val="00487029"/>
    <w:rsid w:val="00487379"/>
    <w:rsid w:val="00487B27"/>
    <w:rsid w:val="00490139"/>
    <w:rsid w:val="00490218"/>
    <w:rsid w:val="004905FC"/>
    <w:rsid w:val="00491205"/>
    <w:rsid w:val="00491472"/>
    <w:rsid w:val="00491804"/>
    <w:rsid w:val="00492134"/>
    <w:rsid w:val="004922B8"/>
    <w:rsid w:val="004925DB"/>
    <w:rsid w:val="004927EF"/>
    <w:rsid w:val="004932F9"/>
    <w:rsid w:val="0049337D"/>
    <w:rsid w:val="00493BA1"/>
    <w:rsid w:val="00493CD9"/>
    <w:rsid w:val="004945C4"/>
    <w:rsid w:val="00494BD1"/>
    <w:rsid w:val="00494C5F"/>
    <w:rsid w:val="00494CF3"/>
    <w:rsid w:val="0049506D"/>
    <w:rsid w:val="004954B1"/>
    <w:rsid w:val="00495B75"/>
    <w:rsid w:val="0049614A"/>
    <w:rsid w:val="00496281"/>
    <w:rsid w:val="004966D6"/>
    <w:rsid w:val="00496782"/>
    <w:rsid w:val="004967A3"/>
    <w:rsid w:val="00496A26"/>
    <w:rsid w:val="00497D6D"/>
    <w:rsid w:val="004A0A19"/>
    <w:rsid w:val="004A0FBD"/>
    <w:rsid w:val="004A1E69"/>
    <w:rsid w:val="004A23B7"/>
    <w:rsid w:val="004A254F"/>
    <w:rsid w:val="004A2612"/>
    <w:rsid w:val="004A2820"/>
    <w:rsid w:val="004A28A2"/>
    <w:rsid w:val="004A292D"/>
    <w:rsid w:val="004A2B37"/>
    <w:rsid w:val="004A455A"/>
    <w:rsid w:val="004A4BA1"/>
    <w:rsid w:val="004A53FC"/>
    <w:rsid w:val="004A608E"/>
    <w:rsid w:val="004A60A4"/>
    <w:rsid w:val="004A629D"/>
    <w:rsid w:val="004A669F"/>
    <w:rsid w:val="004A6CAA"/>
    <w:rsid w:val="004A73E5"/>
    <w:rsid w:val="004A7EE7"/>
    <w:rsid w:val="004B09EE"/>
    <w:rsid w:val="004B10C3"/>
    <w:rsid w:val="004B1892"/>
    <w:rsid w:val="004B230A"/>
    <w:rsid w:val="004B3308"/>
    <w:rsid w:val="004B334D"/>
    <w:rsid w:val="004B4272"/>
    <w:rsid w:val="004B453B"/>
    <w:rsid w:val="004B49A0"/>
    <w:rsid w:val="004B4E5A"/>
    <w:rsid w:val="004B4E60"/>
    <w:rsid w:val="004B4EB1"/>
    <w:rsid w:val="004B553C"/>
    <w:rsid w:val="004B57AF"/>
    <w:rsid w:val="004B7410"/>
    <w:rsid w:val="004C05A2"/>
    <w:rsid w:val="004C08A1"/>
    <w:rsid w:val="004C143C"/>
    <w:rsid w:val="004C1478"/>
    <w:rsid w:val="004C14D6"/>
    <w:rsid w:val="004C1C1A"/>
    <w:rsid w:val="004C1E6D"/>
    <w:rsid w:val="004C23B8"/>
    <w:rsid w:val="004C2716"/>
    <w:rsid w:val="004C2F51"/>
    <w:rsid w:val="004C337A"/>
    <w:rsid w:val="004C3586"/>
    <w:rsid w:val="004C3820"/>
    <w:rsid w:val="004C4481"/>
    <w:rsid w:val="004C47E1"/>
    <w:rsid w:val="004C4C03"/>
    <w:rsid w:val="004C4C62"/>
    <w:rsid w:val="004C548A"/>
    <w:rsid w:val="004C55E7"/>
    <w:rsid w:val="004C5858"/>
    <w:rsid w:val="004C595F"/>
    <w:rsid w:val="004C5D28"/>
    <w:rsid w:val="004C5DC8"/>
    <w:rsid w:val="004C5EC7"/>
    <w:rsid w:val="004C647E"/>
    <w:rsid w:val="004C653F"/>
    <w:rsid w:val="004C6C61"/>
    <w:rsid w:val="004C7EB7"/>
    <w:rsid w:val="004D0781"/>
    <w:rsid w:val="004D0A0B"/>
    <w:rsid w:val="004D0B21"/>
    <w:rsid w:val="004D0EB8"/>
    <w:rsid w:val="004D12D2"/>
    <w:rsid w:val="004D16B4"/>
    <w:rsid w:val="004D254F"/>
    <w:rsid w:val="004D30AB"/>
    <w:rsid w:val="004D34A0"/>
    <w:rsid w:val="004D3E58"/>
    <w:rsid w:val="004D4316"/>
    <w:rsid w:val="004D55FA"/>
    <w:rsid w:val="004D565F"/>
    <w:rsid w:val="004D5760"/>
    <w:rsid w:val="004D5866"/>
    <w:rsid w:val="004D598D"/>
    <w:rsid w:val="004D5A86"/>
    <w:rsid w:val="004D5E9D"/>
    <w:rsid w:val="004D6246"/>
    <w:rsid w:val="004D6363"/>
    <w:rsid w:val="004D6B84"/>
    <w:rsid w:val="004D6CFE"/>
    <w:rsid w:val="004D7A01"/>
    <w:rsid w:val="004D7D32"/>
    <w:rsid w:val="004E0178"/>
    <w:rsid w:val="004E0412"/>
    <w:rsid w:val="004E0BB0"/>
    <w:rsid w:val="004E0E28"/>
    <w:rsid w:val="004E1697"/>
    <w:rsid w:val="004E189C"/>
    <w:rsid w:val="004E1A19"/>
    <w:rsid w:val="004E228E"/>
    <w:rsid w:val="004E28D6"/>
    <w:rsid w:val="004E2A3A"/>
    <w:rsid w:val="004E2AA9"/>
    <w:rsid w:val="004E2AE6"/>
    <w:rsid w:val="004E2C6A"/>
    <w:rsid w:val="004E311D"/>
    <w:rsid w:val="004E3161"/>
    <w:rsid w:val="004E3BDB"/>
    <w:rsid w:val="004E4083"/>
    <w:rsid w:val="004E43E9"/>
    <w:rsid w:val="004E48C3"/>
    <w:rsid w:val="004E4B28"/>
    <w:rsid w:val="004E4CB5"/>
    <w:rsid w:val="004E4CD3"/>
    <w:rsid w:val="004E585D"/>
    <w:rsid w:val="004E63AA"/>
    <w:rsid w:val="004E6C06"/>
    <w:rsid w:val="004E712B"/>
    <w:rsid w:val="004E780E"/>
    <w:rsid w:val="004E7949"/>
    <w:rsid w:val="004E7A1B"/>
    <w:rsid w:val="004E7F80"/>
    <w:rsid w:val="004F01EC"/>
    <w:rsid w:val="004F054A"/>
    <w:rsid w:val="004F1116"/>
    <w:rsid w:val="004F1E04"/>
    <w:rsid w:val="004F1F91"/>
    <w:rsid w:val="004F232B"/>
    <w:rsid w:val="004F2AFB"/>
    <w:rsid w:val="004F2B78"/>
    <w:rsid w:val="004F2BD7"/>
    <w:rsid w:val="004F2E3D"/>
    <w:rsid w:val="004F2F1A"/>
    <w:rsid w:val="004F30BA"/>
    <w:rsid w:val="004F310E"/>
    <w:rsid w:val="004F339D"/>
    <w:rsid w:val="004F438D"/>
    <w:rsid w:val="004F473F"/>
    <w:rsid w:val="004F4947"/>
    <w:rsid w:val="004F4B09"/>
    <w:rsid w:val="004F4B0C"/>
    <w:rsid w:val="004F57AD"/>
    <w:rsid w:val="004F5998"/>
    <w:rsid w:val="004F5DBF"/>
    <w:rsid w:val="004F5E17"/>
    <w:rsid w:val="004F62E2"/>
    <w:rsid w:val="004F6942"/>
    <w:rsid w:val="004F7B49"/>
    <w:rsid w:val="004F7B9C"/>
    <w:rsid w:val="004F7D3B"/>
    <w:rsid w:val="005002F4"/>
    <w:rsid w:val="00500930"/>
    <w:rsid w:val="00500E33"/>
    <w:rsid w:val="00500E3B"/>
    <w:rsid w:val="005012FA"/>
    <w:rsid w:val="00501677"/>
    <w:rsid w:val="0050168D"/>
    <w:rsid w:val="00501907"/>
    <w:rsid w:val="005019C2"/>
    <w:rsid w:val="00501C5C"/>
    <w:rsid w:val="00501F05"/>
    <w:rsid w:val="0050201D"/>
    <w:rsid w:val="005020DA"/>
    <w:rsid w:val="005023F3"/>
    <w:rsid w:val="00502E03"/>
    <w:rsid w:val="00503EC6"/>
    <w:rsid w:val="00504039"/>
    <w:rsid w:val="00504134"/>
    <w:rsid w:val="005041CC"/>
    <w:rsid w:val="005042F3"/>
    <w:rsid w:val="00504ABD"/>
    <w:rsid w:val="00504ED1"/>
    <w:rsid w:val="00504F2E"/>
    <w:rsid w:val="00504FA5"/>
    <w:rsid w:val="00506F72"/>
    <w:rsid w:val="005104BE"/>
    <w:rsid w:val="00510A4D"/>
    <w:rsid w:val="00510EE4"/>
    <w:rsid w:val="00510F3E"/>
    <w:rsid w:val="005115B1"/>
    <w:rsid w:val="00513506"/>
    <w:rsid w:val="00514DB4"/>
    <w:rsid w:val="005155C4"/>
    <w:rsid w:val="00515E51"/>
    <w:rsid w:val="00516460"/>
    <w:rsid w:val="00516DDE"/>
    <w:rsid w:val="00517B30"/>
    <w:rsid w:val="005205C9"/>
    <w:rsid w:val="00520ADF"/>
    <w:rsid w:val="00520C97"/>
    <w:rsid w:val="00520DA4"/>
    <w:rsid w:val="00520F68"/>
    <w:rsid w:val="005212B3"/>
    <w:rsid w:val="005217DD"/>
    <w:rsid w:val="00521C55"/>
    <w:rsid w:val="00521F9C"/>
    <w:rsid w:val="005232A7"/>
    <w:rsid w:val="00523700"/>
    <w:rsid w:val="005239A4"/>
    <w:rsid w:val="00523F35"/>
    <w:rsid w:val="005241F5"/>
    <w:rsid w:val="0052428E"/>
    <w:rsid w:val="0052460B"/>
    <w:rsid w:val="005248ED"/>
    <w:rsid w:val="00524A1B"/>
    <w:rsid w:val="00524BF0"/>
    <w:rsid w:val="00524FA9"/>
    <w:rsid w:val="005250E9"/>
    <w:rsid w:val="00525869"/>
    <w:rsid w:val="00525B68"/>
    <w:rsid w:val="00525DB2"/>
    <w:rsid w:val="00525EE2"/>
    <w:rsid w:val="005260E4"/>
    <w:rsid w:val="00526811"/>
    <w:rsid w:val="00526AD7"/>
    <w:rsid w:val="00527552"/>
    <w:rsid w:val="00527739"/>
    <w:rsid w:val="00527AF0"/>
    <w:rsid w:val="00527D5E"/>
    <w:rsid w:val="0053042E"/>
    <w:rsid w:val="00530735"/>
    <w:rsid w:val="00530791"/>
    <w:rsid w:val="005307CF"/>
    <w:rsid w:val="00530DC1"/>
    <w:rsid w:val="00531238"/>
    <w:rsid w:val="00531800"/>
    <w:rsid w:val="00531F45"/>
    <w:rsid w:val="00532CEE"/>
    <w:rsid w:val="005331DC"/>
    <w:rsid w:val="00533350"/>
    <w:rsid w:val="00533BB3"/>
    <w:rsid w:val="005341F5"/>
    <w:rsid w:val="00534A21"/>
    <w:rsid w:val="00534ADC"/>
    <w:rsid w:val="00534DB9"/>
    <w:rsid w:val="00535376"/>
    <w:rsid w:val="0053573A"/>
    <w:rsid w:val="00535D41"/>
    <w:rsid w:val="0053613C"/>
    <w:rsid w:val="005364FD"/>
    <w:rsid w:val="00537338"/>
    <w:rsid w:val="005379DE"/>
    <w:rsid w:val="00537A9A"/>
    <w:rsid w:val="005402EB"/>
    <w:rsid w:val="00543835"/>
    <w:rsid w:val="00543D3D"/>
    <w:rsid w:val="005445A1"/>
    <w:rsid w:val="00544850"/>
    <w:rsid w:val="00544DB3"/>
    <w:rsid w:val="0054504F"/>
    <w:rsid w:val="005454D9"/>
    <w:rsid w:val="005457D8"/>
    <w:rsid w:val="00545816"/>
    <w:rsid w:val="00545F79"/>
    <w:rsid w:val="00546223"/>
    <w:rsid w:val="005464AC"/>
    <w:rsid w:val="0054656B"/>
    <w:rsid w:val="00546576"/>
    <w:rsid w:val="0054657A"/>
    <w:rsid w:val="0054676C"/>
    <w:rsid w:val="00547039"/>
    <w:rsid w:val="005473EE"/>
    <w:rsid w:val="00550120"/>
    <w:rsid w:val="00551A52"/>
    <w:rsid w:val="0055232C"/>
    <w:rsid w:val="0055239C"/>
    <w:rsid w:val="00553494"/>
    <w:rsid w:val="005534F1"/>
    <w:rsid w:val="00555127"/>
    <w:rsid w:val="00555207"/>
    <w:rsid w:val="005552CE"/>
    <w:rsid w:val="00556177"/>
    <w:rsid w:val="00556390"/>
    <w:rsid w:val="0055647C"/>
    <w:rsid w:val="00556BB5"/>
    <w:rsid w:val="00557165"/>
    <w:rsid w:val="00560953"/>
    <w:rsid w:val="00560963"/>
    <w:rsid w:val="00560A8C"/>
    <w:rsid w:val="005617C0"/>
    <w:rsid w:val="00561C1D"/>
    <w:rsid w:val="0056248F"/>
    <w:rsid w:val="0056254D"/>
    <w:rsid w:val="00562AC8"/>
    <w:rsid w:val="0056447D"/>
    <w:rsid w:val="005645CC"/>
    <w:rsid w:val="00564BAA"/>
    <w:rsid w:val="00564D77"/>
    <w:rsid w:val="005652D1"/>
    <w:rsid w:val="0056545E"/>
    <w:rsid w:val="00565827"/>
    <w:rsid w:val="00565F4F"/>
    <w:rsid w:val="005669DA"/>
    <w:rsid w:val="0056715B"/>
    <w:rsid w:val="005671CB"/>
    <w:rsid w:val="00567AE2"/>
    <w:rsid w:val="00567C6E"/>
    <w:rsid w:val="00570361"/>
    <w:rsid w:val="0057167C"/>
    <w:rsid w:val="00572762"/>
    <w:rsid w:val="00573467"/>
    <w:rsid w:val="005743D5"/>
    <w:rsid w:val="005749D0"/>
    <w:rsid w:val="00574A07"/>
    <w:rsid w:val="00574A85"/>
    <w:rsid w:val="00575A54"/>
    <w:rsid w:val="00575E17"/>
    <w:rsid w:val="00576225"/>
    <w:rsid w:val="00576421"/>
    <w:rsid w:val="005775DD"/>
    <w:rsid w:val="00577744"/>
    <w:rsid w:val="0058049D"/>
    <w:rsid w:val="005807B4"/>
    <w:rsid w:val="005808F4"/>
    <w:rsid w:val="00580A57"/>
    <w:rsid w:val="00580C87"/>
    <w:rsid w:val="00580DF9"/>
    <w:rsid w:val="005810B9"/>
    <w:rsid w:val="00581348"/>
    <w:rsid w:val="00581A3D"/>
    <w:rsid w:val="00582261"/>
    <w:rsid w:val="00582EE5"/>
    <w:rsid w:val="00583266"/>
    <w:rsid w:val="00583D7F"/>
    <w:rsid w:val="00583DA1"/>
    <w:rsid w:val="005842A7"/>
    <w:rsid w:val="00584385"/>
    <w:rsid w:val="00585527"/>
    <w:rsid w:val="00585BCA"/>
    <w:rsid w:val="00585DCD"/>
    <w:rsid w:val="00586030"/>
    <w:rsid w:val="005864B8"/>
    <w:rsid w:val="00587128"/>
    <w:rsid w:val="005905A2"/>
    <w:rsid w:val="00590628"/>
    <w:rsid w:val="0059080A"/>
    <w:rsid w:val="0059082A"/>
    <w:rsid w:val="005912EF"/>
    <w:rsid w:val="0059154B"/>
    <w:rsid w:val="005917FA"/>
    <w:rsid w:val="00591E00"/>
    <w:rsid w:val="00591EC1"/>
    <w:rsid w:val="005926AC"/>
    <w:rsid w:val="005929EC"/>
    <w:rsid w:val="00592B44"/>
    <w:rsid w:val="005936E1"/>
    <w:rsid w:val="0059388E"/>
    <w:rsid w:val="00594072"/>
    <w:rsid w:val="0059490C"/>
    <w:rsid w:val="0059530C"/>
    <w:rsid w:val="005953BE"/>
    <w:rsid w:val="00595906"/>
    <w:rsid w:val="00595DD5"/>
    <w:rsid w:val="00596808"/>
    <w:rsid w:val="00596E05"/>
    <w:rsid w:val="00597128"/>
    <w:rsid w:val="00597164"/>
    <w:rsid w:val="00597E1F"/>
    <w:rsid w:val="005A0042"/>
    <w:rsid w:val="005A0264"/>
    <w:rsid w:val="005A033F"/>
    <w:rsid w:val="005A06C6"/>
    <w:rsid w:val="005A0C9D"/>
    <w:rsid w:val="005A13CB"/>
    <w:rsid w:val="005A1680"/>
    <w:rsid w:val="005A1C87"/>
    <w:rsid w:val="005A1F30"/>
    <w:rsid w:val="005A1F42"/>
    <w:rsid w:val="005A2170"/>
    <w:rsid w:val="005A2AB7"/>
    <w:rsid w:val="005A2AC5"/>
    <w:rsid w:val="005A3602"/>
    <w:rsid w:val="005A3BD8"/>
    <w:rsid w:val="005A40D3"/>
    <w:rsid w:val="005A4159"/>
    <w:rsid w:val="005A4682"/>
    <w:rsid w:val="005A4D0B"/>
    <w:rsid w:val="005A4DAD"/>
    <w:rsid w:val="005A4E76"/>
    <w:rsid w:val="005A519B"/>
    <w:rsid w:val="005A5696"/>
    <w:rsid w:val="005A69DD"/>
    <w:rsid w:val="005A6A5C"/>
    <w:rsid w:val="005A6AB8"/>
    <w:rsid w:val="005A709C"/>
    <w:rsid w:val="005A75DB"/>
    <w:rsid w:val="005B033D"/>
    <w:rsid w:val="005B05C4"/>
    <w:rsid w:val="005B0C94"/>
    <w:rsid w:val="005B12DE"/>
    <w:rsid w:val="005B150D"/>
    <w:rsid w:val="005B19E1"/>
    <w:rsid w:val="005B1A42"/>
    <w:rsid w:val="005B1DAD"/>
    <w:rsid w:val="005B2283"/>
    <w:rsid w:val="005B28E8"/>
    <w:rsid w:val="005B2E4D"/>
    <w:rsid w:val="005B32B5"/>
    <w:rsid w:val="005B3D11"/>
    <w:rsid w:val="005B3E13"/>
    <w:rsid w:val="005B3FED"/>
    <w:rsid w:val="005B4B30"/>
    <w:rsid w:val="005B4FE5"/>
    <w:rsid w:val="005B54D5"/>
    <w:rsid w:val="005B559C"/>
    <w:rsid w:val="005B67AA"/>
    <w:rsid w:val="005B69C0"/>
    <w:rsid w:val="005B6AFB"/>
    <w:rsid w:val="005B6DBD"/>
    <w:rsid w:val="005B6FE7"/>
    <w:rsid w:val="005B737C"/>
    <w:rsid w:val="005B7519"/>
    <w:rsid w:val="005B75BF"/>
    <w:rsid w:val="005B7C20"/>
    <w:rsid w:val="005B7E77"/>
    <w:rsid w:val="005C1C57"/>
    <w:rsid w:val="005C2137"/>
    <w:rsid w:val="005C2667"/>
    <w:rsid w:val="005C2837"/>
    <w:rsid w:val="005C3557"/>
    <w:rsid w:val="005C57AC"/>
    <w:rsid w:val="005C5935"/>
    <w:rsid w:val="005C62C0"/>
    <w:rsid w:val="005C64A0"/>
    <w:rsid w:val="005C6723"/>
    <w:rsid w:val="005C685E"/>
    <w:rsid w:val="005C6E70"/>
    <w:rsid w:val="005C7B42"/>
    <w:rsid w:val="005D004F"/>
    <w:rsid w:val="005D00CA"/>
    <w:rsid w:val="005D0287"/>
    <w:rsid w:val="005D077F"/>
    <w:rsid w:val="005D0B2A"/>
    <w:rsid w:val="005D0D8D"/>
    <w:rsid w:val="005D0D98"/>
    <w:rsid w:val="005D1314"/>
    <w:rsid w:val="005D1969"/>
    <w:rsid w:val="005D19FC"/>
    <w:rsid w:val="005D2113"/>
    <w:rsid w:val="005D239C"/>
    <w:rsid w:val="005D27A0"/>
    <w:rsid w:val="005D28AA"/>
    <w:rsid w:val="005D2AE1"/>
    <w:rsid w:val="005D35F0"/>
    <w:rsid w:val="005D3B39"/>
    <w:rsid w:val="005D428C"/>
    <w:rsid w:val="005D431D"/>
    <w:rsid w:val="005D4692"/>
    <w:rsid w:val="005D478B"/>
    <w:rsid w:val="005D47B6"/>
    <w:rsid w:val="005D496E"/>
    <w:rsid w:val="005D4D1F"/>
    <w:rsid w:val="005D4EA4"/>
    <w:rsid w:val="005D5B75"/>
    <w:rsid w:val="005D63B1"/>
    <w:rsid w:val="005D6968"/>
    <w:rsid w:val="005D6BB6"/>
    <w:rsid w:val="005D6E9B"/>
    <w:rsid w:val="005D6EAE"/>
    <w:rsid w:val="005D71C1"/>
    <w:rsid w:val="005D727E"/>
    <w:rsid w:val="005D72C6"/>
    <w:rsid w:val="005D7446"/>
    <w:rsid w:val="005D7460"/>
    <w:rsid w:val="005D76C8"/>
    <w:rsid w:val="005E01EA"/>
    <w:rsid w:val="005E08C2"/>
    <w:rsid w:val="005E19E1"/>
    <w:rsid w:val="005E1EFF"/>
    <w:rsid w:val="005E1F1B"/>
    <w:rsid w:val="005E2671"/>
    <w:rsid w:val="005E2D1C"/>
    <w:rsid w:val="005E3CCA"/>
    <w:rsid w:val="005E3F9D"/>
    <w:rsid w:val="005E4315"/>
    <w:rsid w:val="005E4327"/>
    <w:rsid w:val="005E494B"/>
    <w:rsid w:val="005E5140"/>
    <w:rsid w:val="005E52E4"/>
    <w:rsid w:val="005E68C0"/>
    <w:rsid w:val="005E69AE"/>
    <w:rsid w:val="005E6A32"/>
    <w:rsid w:val="005E6F30"/>
    <w:rsid w:val="005E79DE"/>
    <w:rsid w:val="005E7D7B"/>
    <w:rsid w:val="005E7F7A"/>
    <w:rsid w:val="005F0072"/>
    <w:rsid w:val="005F0635"/>
    <w:rsid w:val="005F0B09"/>
    <w:rsid w:val="005F10EF"/>
    <w:rsid w:val="005F1A9A"/>
    <w:rsid w:val="005F1F83"/>
    <w:rsid w:val="005F2114"/>
    <w:rsid w:val="005F2A2A"/>
    <w:rsid w:val="005F2AAE"/>
    <w:rsid w:val="005F2C64"/>
    <w:rsid w:val="005F3127"/>
    <w:rsid w:val="005F3592"/>
    <w:rsid w:val="005F381A"/>
    <w:rsid w:val="005F3B2A"/>
    <w:rsid w:val="005F4259"/>
    <w:rsid w:val="005F430C"/>
    <w:rsid w:val="005F45B7"/>
    <w:rsid w:val="005F4EF5"/>
    <w:rsid w:val="005F4FB9"/>
    <w:rsid w:val="005F6895"/>
    <w:rsid w:val="005F6962"/>
    <w:rsid w:val="005F7CD0"/>
    <w:rsid w:val="005F7D94"/>
    <w:rsid w:val="00600CFE"/>
    <w:rsid w:val="006010DD"/>
    <w:rsid w:val="0060111C"/>
    <w:rsid w:val="006016D6"/>
    <w:rsid w:val="00601A99"/>
    <w:rsid w:val="00601B8C"/>
    <w:rsid w:val="006026AB"/>
    <w:rsid w:val="0060428F"/>
    <w:rsid w:val="0060433A"/>
    <w:rsid w:val="006046A0"/>
    <w:rsid w:val="00604887"/>
    <w:rsid w:val="006056AE"/>
    <w:rsid w:val="006058A0"/>
    <w:rsid w:val="00605943"/>
    <w:rsid w:val="0060595B"/>
    <w:rsid w:val="00606DCD"/>
    <w:rsid w:val="0060792B"/>
    <w:rsid w:val="0060795F"/>
    <w:rsid w:val="00611335"/>
    <w:rsid w:val="00611B45"/>
    <w:rsid w:val="00612272"/>
    <w:rsid w:val="0061246C"/>
    <w:rsid w:val="0061250B"/>
    <w:rsid w:val="00612768"/>
    <w:rsid w:val="00612810"/>
    <w:rsid w:val="00613349"/>
    <w:rsid w:val="00613AFA"/>
    <w:rsid w:val="00613EF7"/>
    <w:rsid w:val="006154AB"/>
    <w:rsid w:val="00615D93"/>
    <w:rsid w:val="00616C65"/>
    <w:rsid w:val="006170B1"/>
    <w:rsid w:val="006176FB"/>
    <w:rsid w:val="00620192"/>
    <w:rsid w:val="0062039A"/>
    <w:rsid w:val="00620406"/>
    <w:rsid w:val="006210DC"/>
    <w:rsid w:val="006211B8"/>
    <w:rsid w:val="00621203"/>
    <w:rsid w:val="00621943"/>
    <w:rsid w:val="0062236F"/>
    <w:rsid w:val="00622681"/>
    <w:rsid w:val="00622713"/>
    <w:rsid w:val="00622D50"/>
    <w:rsid w:val="006231F1"/>
    <w:rsid w:val="006237FC"/>
    <w:rsid w:val="00623E73"/>
    <w:rsid w:val="00624C6C"/>
    <w:rsid w:val="006250FE"/>
    <w:rsid w:val="00625CC2"/>
    <w:rsid w:val="00625FB2"/>
    <w:rsid w:val="006265C8"/>
    <w:rsid w:val="006266C8"/>
    <w:rsid w:val="0062692F"/>
    <w:rsid w:val="00626D0E"/>
    <w:rsid w:val="00627135"/>
    <w:rsid w:val="00627C34"/>
    <w:rsid w:val="00627F1A"/>
    <w:rsid w:val="006303F3"/>
    <w:rsid w:val="00630478"/>
    <w:rsid w:val="0063094A"/>
    <w:rsid w:val="00630BFC"/>
    <w:rsid w:val="00630E4B"/>
    <w:rsid w:val="00630F6C"/>
    <w:rsid w:val="0063144D"/>
    <w:rsid w:val="006315D6"/>
    <w:rsid w:val="0063175A"/>
    <w:rsid w:val="00631A01"/>
    <w:rsid w:val="00631AA4"/>
    <w:rsid w:val="0063237F"/>
    <w:rsid w:val="006323A4"/>
    <w:rsid w:val="00632B98"/>
    <w:rsid w:val="00632F91"/>
    <w:rsid w:val="00633772"/>
    <w:rsid w:val="006338E4"/>
    <w:rsid w:val="00633E54"/>
    <w:rsid w:val="00634755"/>
    <w:rsid w:val="00634A04"/>
    <w:rsid w:val="00634A9E"/>
    <w:rsid w:val="00634AAF"/>
    <w:rsid w:val="0063546D"/>
    <w:rsid w:val="006354B1"/>
    <w:rsid w:val="006354E2"/>
    <w:rsid w:val="006358A9"/>
    <w:rsid w:val="00635B4C"/>
    <w:rsid w:val="006369AF"/>
    <w:rsid w:val="00637493"/>
    <w:rsid w:val="00637914"/>
    <w:rsid w:val="00637B83"/>
    <w:rsid w:val="00637CA7"/>
    <w:rsid w:val="00637D08"/>
    <w:rsid w:val="00637F66"/>
    <w:rsid w:val="006406F5"/>
    <w:rsid w:val="00640761"/>
    <w:rsid w:val="00640A7F"/>
    <w:rsid w:val="00640AB0"/>
    <w:rsid w:val="00640FC6"/>
    <w:rsid w:val="00641622"/>
    <w:rsid w:val="00641D10"/>
    <w:rsid w:val="006424F1"/>
    <w:rsid w:val="00642C06"/>
    <w:rsid w:val="00644BAA"/>
    <w:rsid w:val="00644CDA"/>
    <w:rsid w:val="006451C9"/>
    <w:rsid w:val="006455ED"/>
    <w:rsid w:val="00645F74"/>
    <w:rsid w:val="006462CB"/>
    <w:rsid w:val="00646318"/>
    <w:rsid w:val="0064653D"/>
    <w:rsid w:val="00646E62"/>
    <w:rsid w:val="0064792E"/>
    <w:rsid w:val="00650429"/>
    <w:rsid w:val="006505CC"/>
    <w:rsid w:val="0065077A"/>
    <w:rsid w:val="00650A48"/>
    <w:rsid w:val="00651376"/>
    <w:rsid w:val="006513C1"/>
    <w:rsid w:val="006517F2"/>
    <w:rsid w:val="00652D82"/>
    <w:rsid w:val="006532D7"/>
    <w:rsid w:val="006535EA"/>
    <w:rsid w:val="00653942"/>
    <w:rsid w:val="0065413D"/>
    <w:rsid w:val="006549AD"/>
    <w:rsid w:val="00654A3D"/>
    <w:rsid w:val="00654E3B"/>
    <w:rsid w:val="006550BF"/>
    <w:rsid w:val="00655351"/>
    <w:rsid w:val="00656087"/>
    <w:rsid w:val="0065618B"/>
    <w:rsid w:val="006564D6"/>
    <w:rsid w:val="00656BF8"/>
    <w:rsid w:val="006579CC"/>
    <w:rsid w:val="00657F3D"/>
    <w:rsid w:val="0066025E"/>
    <w:rsid w:val="00660B4E"/>
    <w:rsid w:val="00660FBD"/>
    <w:rsid w:val="006614D2"/>
    <w:rsid w:val="00662306"/>
    <w:rsid w:val="00662F09"/>
    <w:rsid w:val="00663337"/>
    <w:rsid w:val="006642CF"/>
    <w:rsid w:val="00665133"/>
    <w:rsid w:val="0066534E"/>
    <w:rsid w:val="00665682"/>
    <w:rsid w:val="006665AF"/>
    <w:rsid w:val="006667F8"/>
    <w:rsid w:val="0066690C"/>
    <w:rsid w:val="00666B14"/>
    <w:rsid w:val="00666BB4"/>
    <w:rsid w:val="0066706E"/>
    <w:rsid w:val="00667301"/>
    <w:rsid w:val="00667397"/>
    <w:rsid w:val="0066782F"/>
    <w:rsid w:val="00667B91"/>
    <w:rsid w:val="00667C36"/>
    <w:rsid w:val="00667FB2"/>
    <w:rsid w:val="00670526"/>
    <w:rsid w:val="00670699"/>
    <w:rsid w:val="006709D2"/>
    <w:rsid w:val="00670BAA"/>
    <w:rsid w:val="006715D4"/>
    <w:rsid w:val="00671AE1"/>
    <w:rsid w:val="00671BE9"/>
    <w:rsid w:val="00671D1D"/>
    <w:rsid w:val="00671FB9"/>
    <w:rsid w:val="00672174"/>
    <w:rsid w:val="006725ED"/>
    <w:rsid w:val="00672C59"/>
    <w:rsid w:val="00672F16"/>
    <w:rsid w:val="0067349F"/>
    <w:rsid w:val="00673DF4"/>
    <w:rsid w:val="00674421"/>
    <w:rsid w:val="006748D9"/>
    <w:rsid w:val="006749A7"/>
    <w:rsid w:val="00675814"/>
    <w:rsid w:val="006759C5"/>
    <w:rsid w:val="00676492"/>
    <w:rsid w:val="006773ED"/>
    <w:rsid w:val="00677492"/>
    <w:rsid w:val="00677623"/>
    <w:rsid w:val="0067788C"/>
    <w:rsid w:val="00677AD6"/>
    <w:rsid w:val="00677B24"/>
    <w:rsid w:val="00680755"/>
    <w:rsid w:val="00680E94"/>
    <w:rsid w:val="00681065"/>
    <w:rsid w:val="00682490"/>
    <w:rsid w:val="00683203"/>
    <w:rsid w:val="006832B3"/>
    <w:rsid w:val="006832F3"/>
    <w:rsid w:val="0068333D"/>
    <w:rsid w:val="00683F37"/>
    <w:rsid w:val="00684309"/>
    <w:rsid w:val="0068516C"/>
    <w:rsid w:val="006853AD"/>
    <w:rsid w:val="006857F6"/>
    <w:rsid w:val="00686216"/>
    <w:rsid w:val="00686B90"/>
    <w:rsid w:val="0068759C"/>
    <w:rsid w:val="00687B41"/>
    <w:rsid w:val="0069023F"/>
    <w:rsid w:val="00690559"/>
    <w:rsid w:val="00690891"/>
    <w:rsid w:val="00690E36"/>
    <w:rsid w:val="00691349"/>
    <w:rsid w:val="00691A69"/>
    <w:rsid w:val="00691AA7"/>
    <w:rsid w:val="006928E6"/>
    <w:rsid w:val="00692FEF"/>
    <w:rsid w:val="00693582"/>
    <w:rsid w:val="00693718"/>
    <w:rsid w:val="00694569"/>
    <w:rsid w:val="00694D7C"/>
    <w:rsid w:val="006953FB"/>
    <w:rsid w:val="0069544E"/>
    <w:rsid w:val="006954A9"/>
    <w:rsid w:val="00695857"/>
    <w:rsid w:val="0069590E"/>
    <w:rsid w:val="006959B0"/>
    <w:rsid w:val="00695C4B"/>
    <w:rsid w:val="00695DA0"/>
    <w:rsid w:val="0069634F"/>
    <w:rsid w:val="00696788"/>
    <w:rsid w:val="00696DEA"/>
    <w:rsid w:val="00696FD9"/>
    <w:rsid w:val="00697268"/>
    <w:rsid w:val="006973F9"/>
    <w:rsid w:val="006979DF"/>
    <w:rsid w:val="00697D7D"/>
    <w:rsid w:val="006A02BC"/>
    <w:rsid w:val="006A0355"/>
    <w:rsid w:val="006A0571"/>
    <w:rsid w:val="006A060A"/>
    <w:rsid w:val="006A1204"/>
    <w:rsid w:val="006A1ADA"/>
    <w:rsid w:val="006A1B89"/>
    <w:rsid w:val="006A1F71"/>
    <w:rsid w:val="006A2045"/>
    <w:rsid w:val="006A20AA"/>
    <w:rsid w:val="006A26B1"/>
    <w:rsid w:val="006A2C17"/>
    <w:rsid w:val="006A2F3F"/>
    <w:rsid w:val="006A306A"/>
    <w:rsid w:val="006A326D"/>
    <w:rsid w:val="006A352E"/>
    <w:rsid w:val="006A4BAC"/>
    <w:rsid w:val="006A5953"/>
    <w:rsid w:val="006A5A28"/>
    <w:rsid w:val="006A6193"/>
    <w:rsid w:val="006A6777"/>
    <w:rsid w:val="006A695A"/>
    <w:rsid w:val="006A784B"/>
    <w:rsid w:val="006B0819"/>
    <w:rsid w:val="006B08A8"/>
    <w:rsid w:val="006B0B76"/>
    <w:rsid w:val="006B0E0A"/>
    <w:rsid w:val="006B0EE6"/>
    <w:rsid w:val="006B1134"/>
    <w:rsid w:val="006B12CF"/>
    <w:rsid w:val="006B3042"/>
    <w:rsid w:val="006B33D8"/>
    <w:rsid w:val="006B37FB"/>
    <w:rsid w:val="006B39F8"/>
    <w:rsid w:val="006B3F96"/>
    <w:rsid w:val="006B43C8"/>
    <w:rsid w:val="006B4E62"/>
    <w:rsid w:val="006B55CC"/>
    <w:rsid w:val="006B5668"/>
    <w:rsid w:val="006B6480"/>
    <w:rsid w:val="006B6BEC"/>
    <w:rsid w:val="006B6F59"/>
    <w:rsid w:val="006B74E4"/>
    <w:rsid w:val="006B76AE"/>
    <w:rsid w:val="006B7909"/>
    <w:rsid w:val="006B7B1E"/>
    <w:rsid w:val="006C0121"/>
    <w:rsid w:val="006C138E"/>
    <w:rsid w:val="006C14C5"/>
    <w:rsid w:val="006C1C36"/>
    <w:rsid w:val="006C1DB7"/>
    <w:rsid w:val="006C1F5A"/>
    <w:rsid w:val="006C22E6"/>
    <w:rsid w:val="006C2374"/>
    <w:rsid w:val="006C24F0"/>
    <w:rsid w:val="006C255A"/>
    <w:rsid w:val="006C2668"/>
    <w:rsid w:val="006C27D0"/>
    <w:rsid w:val="006C2949"/>
    <w:rsid w:val="006C2B64"/>
    <w:rsid w:val="006C2DA2"/>
    <w:rsid w:val="006C3062"/>
    <w:rsid w:val="006C321A"/>
    <w:rsid w:val="006C3368"/>
    <w:rsid w:val="006C34E1"/>
    <w:rsid w:val="006C3769"/>
    <w:rsid w:val="006C4340"/>
    <w:rsid w:val="006C47CC"/>
    <w:rsid w:val="006C56CB"/>
    <w:rsid w:val="006C5B41"/>
    <w:rsid w:val="006C5D5B"/>
    <w:rsid w:val="006C6A5E"/>
    <w:rsid w:val="006C71A3"/>
    <w:rsid w:val="006C7480"/>
    <w:rsid w:val="006C7901"/>
    <w:rsid w:val="006C7F7B"/>
    <w:rsid w:val="006D016C"/>
    <w:rsid w:val="006D0D28"/>
    <w:rsid w:val="006D1BB2"/>
    <w:rsid w:val="006D23B5"/>
    <w:rsid w:val="006D27CF"/>
    <w:rsid w:val="006D2821"/>
    <w:rsid w:val="006D2A64"/>
    <w:rsid w:val="006D2C5C"/>
    <w:rsid w:val="006D3305"/>
    <w:rsid w:val="006D390B"/>
    <w:rsid w:val="006D3F6E"/>
    <w:rsid w:val="006D46F9"/>
    <w:rsid w:val="006D4AB3"/>
    <w:rsid w:val="006D4BE2"/>
    <w:rsid w:val="006D4E60"/>
    <w:rsid w:val="006D4F8B"/>
    <w:rsid w:val="006D52B0"/>
    <w:rsid w:val="006D5D61"/>
    <w:rsid w:val="006D6129"/>
    <w:rsid w:val="006D614D"/>
    <w:rsid w:val="006D63BE"/>
    <w:rsid w:val="006D6919"/>
    <w:rsid w:val="006D7942"/>
    <w:rsid w:val="006D7DA9"/>
    <w:rsid w:val="006E0188"/>
    <w:rsid w:val="006E0BD1"/>
    <w:rsid w:val="006E1094"/>
    <w:rsid w:val="006E18C5"/>
    <w:rsid w:val="006E1AFA"/>
    <w:rsid w:val="006E1C56"/>
    <w:rsid w:val="006E1E4B"/>
    <w:rsid w:val="006E1FD7"/>
    <w:rsid w:val="006E238A"/>
    <w:rsid w:val="006E2426"/>
    <w:rsid w:val="006E2875"/>
    <w:rsid w:val="006E2CAE"/>
    <w:rsid w:val="006E3115"/>
    <w:rsid w:val="006E3589"/>
    <w:rsid w:val="006E3E13"/>
    <w:rsid w:val="006E3EB6"/>
    <w:rsid w:val="006E3FC7"/>
    <w:rsid w:val="006E4616"/>
    <w:rsid w:val="006E4724"/>
    <w:rsid w:val="006E47FF"/>
    <w:rsid w:val="006E4ACC"/>
    <w:rsid w:val="006E4BCF"/>
    <w:rsid w:val="006E4DE4"/>
    <w:rsid w:val="006E4F44"/>
    <w:rsid w:val="006E554D"/>
    <w:rsid w:val="006E688B"/>
    <w:rsid w:val="006E6C22"/>
    <w:rsid w:val="006E71FE"/>
    <w:rsid w:val="006E7412"/>
    <w:rsid w:val="006E784B"/>
    <w:rsid w:val="006E7A50"/>
    <w:rsid w:val="006F06A8"/>
    <w:rsid w:val="006F09AE"/>
    <w:rsid w:val="006F10DF"/>
    <w:rsid w:val="006F126E"/>
    <w:rsid w:val="006F1373"/>
    <w:rsid w:val="006F178D"/>
    <w:rsid w:val="006F1987"/>
    <w:rsid w:val="006F19F3"/>
    <w:rsid w:val="006F1B40"/>
    <w:rsid w:val="006F1DA9"/>
    <w:rsid w:val="006F1F5E"/>
    <w:rsid w:val="006F2033"/>
    <w:rsid w:val="006F21FC"/>
    <w:rsid w:val="006F290D"/>
    <w:rsid w:val="006F2C21"/>
    <w:rsid w:val="006F2CF9"/>
    <w:rsid w:val="006F2DB9"/>
    <w:rsid w:val="006F2E3C"/>
    <w:rsid w:val="006F2FE7"/>
    <w:rsid w:val="006F3604"/>
    <w:rsid w:val="006F36DF"/>
    <w:rsid w:val="006F3E90"/>
    <w:rsid w:val="006F432C"/>
    <w:rsid w:val="006F445F"/>
    <w:rsid w:val="006F44CC"/>
    <w:rsid w:val="006F494A"/>
    <w:rsid w:val="006F63C8"/>
    <w:rsid w:val="006F6E08"/>
    <w:rsid w:val="006F7259"/>
    <w:rsid w:val="006F784F"/>
    <w:rsid w:val="006F78F8"/>
    <w:rsid w:val="00700272"/>
    <w:rsid w:val="007017FD"/>
    <w:rsid w:val="0070187C"/>
    <w:rsid w:val="00701E6C"/>
    <w:rsid w:val="00701E7D"/>
    <w:rsid w:val="00701E84"/>
    <w:rsid w:val="007022C7"/>
    <w:rsid w:val="00702361"/>
    <w:rsid w:val="00702902"/>
    <w:rsid w:val="00702E41"/>
    <w:rsid w:val="007039E9"/>
    <w:rsid w:val="00703F46"/>
    <w:rsid w:val="0070437E"/>
    <w:rsid w:val="00704ED9"/>
    <w:rsid w:val="007055B0"/>
    <w:rsid w:val="007055F6"/>
    <w:rsid w:val="00705EF7"/>
    <w:rsid w:val="007062DD"/>
    <w:rsid w:val="00706EB8"/>
    <w:rsid w:val="00706FE5"/>
    <w:rsid w:val="00707151"/>
    <w:rsid w:val="0070719F"/>
    <w:rsid w:val="007072D4"/>
    <w:rsid w:val="00707525"/>
    <w:rsid w:val="0070788A"/>
    <w:rsid w:val="00711914"/>
    <w:rsid w:val="007119E0"/>
    <w:rsid w:val="00713791"/>
    <w:rsid w:val="00713B16"/>
    <w:rsid w:val="00713CAE"/>
    <w:rsid w:val="0071406D"/>
    <w:rsid w:val="00714080"/>
    <w:rsid w:val="007144D5"/>
    <w:rsid w:val="007145E8"/>
    <w:rsid w:val="00714D04"/>
    <w:rsid w:val="0071506E"/>
    <w:rsid w:val="00715376"/>
    <w:rsid w:val="00715D17"/>
    <w:rsid w:val="00716527"/>
    <w:rsid w:val="00716ABB"/>
    <w:rsid w:val="00716AD7"/>
    <w:rsid w:val="0071719D"/>
    <w:rsid w:val="007177E1"/>
    <w:rsid w:val="00717DC4"/>
    <w:rsid w:val="007202DC"/>
    <w:rsid w:val="0072080B"/>
    <w:rsid w:val="00720A46"/>
    <w:rsid w:val="00720D27"/>
    <w:rsid w:val="00721664"/>
    <w:rsid w:val="00721B42"/>
    <w:rsid w:val="00722346"/>
    <w:rsid w:val="007223AB"/>
    <w:rsid w:val="00722534"/>
    <w:rsid w:val="007228C2"/>
    <w:rsid w:val="00723019"/>
    <w:rsid w:val="007243CA"/>
    <w:rsid w:val="007249CE"/>
    <w:rsid w:val="00724C6C"/>
    <w:rsid w:val="00724D23"/>
    <w:rsid w:val="00724E3F"/>
    <w:rsid w:val="00724F52"/>
    <w:rsid w:val="00725032"/>
    <w:rsid w:val="0072559A"/>
    <w:rsid w:val="00725B69"/>
    <w:rsid w:val="0072604F"/>
    <w:rsid w:val="00726712"/>
    <w:rsid w:val="00726835"/>
    <w:rsid w:val="0072687D"/>
    <w:rsid w:val="00726FA9"/>
    <w:rsid w:val="00727260"/>
    <w:rsid w:val="007275D8"/>
    <w:rsid w:val="0072765C"/>
    <w:rsid w:val="00727888"/>
    <w:rsid w:val="00727B7C"/>
    <w:rsid w:val="00727CF7"/>
    <w:rsid w:val="007303BA"/>
    <w:rsid w:val="00730649"/>
    <w:rsid w:val="007313E0"/>
    <w:rsid w:val="007319CD"/>
    <w:rsid w:val="00731AD5"/>
    <w:rsid w:val="00731AD8"/>
    <w:rsid w:val="00732398"/>
    <w:rsid w:val="00732747"/>
    <w:rsid w:val="007328BB"/>
    <w:rsid w:val="00732C08"/>
    <w:rsid w:val="00732E3D"/>
    <w:rsid w:val="00733439"/>
    <w:rsid w:val="00733985"/>
    <w:rsid w:val="007339C5"/>
    <w:rsid w:val="0073416A"/>
    <w:rsid w:val="00734326"/>
    <w:rsid w:val="0073633A"/>
    <w:rsid w:val="00736A15"/>
    <w:rsid w:val="00736F81"/>
    <w:rsid w:val="0073710E"/>
    <w:rsid w:val="0073769A"/>
    <w:rsid w:val="00737853"/>
    <w:rsid w:val="00737D4B"/>
    <w:rsid w:val="00740AD9"/>
    <w:rsid w:val="007413A3"/>
    <w:rsid w:val="0074194B"/>
    <w:rsid w:val="00741B9C"/>
    <w:rsid w:val="00741CF0"/>
    <w:rsid w:val="00741EE7"/>
    <w:rsid w:val="00742646"/>
    <w:rsid w:val="007426FC"/>
    <w:rsid w:val="00742B9C"/>
    <w:rsid w:val="00743336"/>
    <w:rsid w:val="0074359C"/>
    <w:rsid w:val="00743DCE"/>
    <w:rsid w:val="00743FBF"/>
    <w:rsid w:val="0074436D"/>
    <w:rsid w:val="0074537B"/>
    <w:rsid w:val="0074595A"/>
    <w:rsid w:val="00745A03"/>
    <w:rsid w:val="00745D38"/>
    <w:rsid w:val="00746729"/>
    <w:rsid w:val="007468E0"/>
    <w:rsid w:val="00747F7C"/>
    <w:rsid w:val="0075039F"/>
    <w:rsid w:val="0075042A"/>
    <w:rsid w:val="007508BE"/>
    <w:rsid w:val="00751AD8"/>
    <w:rsid w:val="00751DD5"/>
    <w:rsid w:val="0075217D"/>
    <w:rsid w:val="00752264"/>
    <w:rsid w:val="00752340"/>
    <w:rsid w:val="00752683"/>
    <w:rsid w:val="00752F41"/>
    <w:rsid w:val="00753038"/>
    <w:rsid w:val="00753621"/>
    <w:rsid w:val="007537D4"/>
    <w:rsid w:val="00753CFD"/>
    <w:rsid w:val="007546C8"/>
    <w:rsid w:val="00754757"/>
    <w:rsid w:val="007548EB"/>
    <w:rsid w:val="00754EDC"/>
    <w:rsid w:val="00755658"/>
    <w:rsid w:val="00755E60"/>
    <w:rsid w:val="00756A6B"/>
    <w:rsid w:val="00756C07"/>
    <w:rsid w:val="00756D77"/>
    <w:rsid w:val="00756F82"/>
    <w:rsid w:val="0075715E"/>
    <w:rsid w:val="007572D1"/>
    <w:rsid w:val="00757567"/>
    <w:rsid w:val="007575A5"/>
    <w:rsid w:val="0076004F"/>
    <w:rsid w:val="00760A28"/>
    <w:rsid w:val="00761495"/>
    <w:rsid w:val="0076171C"/>
    <w:rsid w:val="00762A92"/>
    <w:rsid w:val="00762D23"/>
    <w:rsid w:val="00762E5D"/>
    <w:rsid w:val="0076364F"/>
    <w:rsid w:val="00763AFB"/>
    <w:rsid w:val="00763E10"/>
    <w:rsid w:val="00765106"/>
    <w:rsid w:val="00765731"/>
    <w:rsid w:val="00765A50"/>
    <w:rsid w:val="007660C7"/>
    <w:rsid w:val="0076639B"/>
    <w:rsid w:val="007663CF"/>
    <w:rsid w:val="0076674E"/>
    <w:rsid w:val="00766842"/>
    <w:rsid w:val="00766F11"/>
    <w:rsid w:val="007672FA"/>
    <w:rsid w:val="007677B3"/>
    <w:rsid w:val="00767892"/>
    <w:rsid w:val="00767BFF"/>
    <w:rsid w:val="00770848"/>
    <w:rsid w:val="007709E4"/>
    <w:rsid w:val="00770CD5"/>
    <w:rsid w:val="00770CE5"/>
    <w:rsid w:val="00772270"/>
    <w:rsid w:val="007729BC"/>
    <w:rsid w:val="00772E9E"/>
    <w:rsid w:val="0077311B"/>
    <w:rsid w:val="00773638"/>
    <w:rsid w:val="00773C22"/>
    <w:rsid w:val="00773E79"/>
    <w:rsid w:val="00774117"/>
    <w:rsid w:val="0077472B"/>
    <w:rsid w:val="0077497B"/>
    <w:rsid w:val="00774CCA"/>
    <w:rsid w:val="007757D4"/>
    <w:rsid w:val="00775AD4"/>
    <w:rsid w:val="0077661F"/>
    <w:rsid w:val="00776844"/>
    <w:rsid w:val="007768B9"/>
    <w:rsid w:val="00776F6C"/>
    <w:rsid w:val="0078058E"/>
    <w:rsid w:val="0078097A"/>
    <w:rsid w:val="00780CC9"/>
    <w:rsid w:val="0078146A"/>
    <w:rsid w:val="007817A6"/>
    <w:rsid w:val="00781A3B"/>
    <w:rsid w:val="00781CF6"/>
    <w:rsid w:val="00781DDA"/>
    <w:rsid w:val="007820A8"/>
    <w:rsid w:val="00782121"/>
    <w:rsid w:val="00782476"/>
    <w:rsid w:val="00782BF4"/>
    <w:rsid w:val="00782DEA"/>
    <w:rsid w:val="0078318D"/>
    <w:rsid w:val="007832F3"/>
    <w:rsid w:val="00783343"/>
    <w:rsid w:val="0078336C"/>
    <w:rsid w:val="00783EB3"/>
    <w:rsid w:val="00784560"/>
    <w:rsid w:val="00784883"/>
    <w:rsid w:val="00785176"/>
    <w:rsid w:val="007864B0"/>
    <w:rsid w:val="00786940"/>
    <w:rsid w:val="00786EEA"/>
    <w:rsid w:val="00787440"/>
    <w:rsid w:val="00787A41"/>
    <w:rsid w:val="00790192"/>
    <w:rsid w:val="007904D6"/>
    <w:rsid w:val="0079057D"/>
    <w:rsid w:val="007914A6"/>
    <w:rsid w:val="007915CD"/>
    <w:rsid w:val="0079199A"/>
    <w:rsid w:val="00791AB6"/>
    <w:rsid w:val="00791CD8"/>
    <w:rsid w:val="00791D51"/>
    <w:rsid w:val="00792872"/>
    <w:rsid w:val="007933DB"/>
    <w:rsid w:val="007934C5"/>
    <w:rsid w:val="00793BF9"/>
    <w:rsid w:val="00794B22"/>
    <w:rsid w:val="00794BD9"/>
    <w:rsid w:val="0079508A"/>
    <w:rsid w:val="007957C1"/>
    <w:rsid w:val="00795840"/>
    <w:rsid w:val="00795B3F"/>
    <w:rsid w:val="00796113"/>
    <w:rsid w:val="00796118"/>
    <w:rsid w:val="0079651D"/>
    <w:rsid w:val="00796EBF"/>
    <w:rsid w:val="007971ED"/>
    <w:rsid w:val="007974D9"/>
    <w:rsid w:val="007978B0"/>
    <w:rsid w:val="00797D4B"/>
    <w:rsid w:val="007A0625"/>
    <w:rsid w:val="007A0BD9"/>
    <w:rsid w:val="007A1019"/>
    <w:rsid w:val="007A107B"/>
    <w:rsid w:val="007A2014"/>
    <w:rsid w:val="007A2485"/>
    <w:rsid w:val="007A2796"/>
    <w:rsid w:val="007A3110"/>
    <w:rsid w:val="007A331B"/>
    <w:rsid w:val="007A3CA2"/>
    <w:rsid w:val="007A4B77"/>
    <w:rsid w:val="007A4F28"/>
    <w:rsid w:val="007A546D"/>
    <w:rsid w:val="007A55A7"/>
    <w:rsid w:val="007A5A4D"/>
    <w:rsid w:val="007A5CFD"/>
    <w:rsid w:val="007A5FFB"/>
    <w:rsid w:val="007A6607"/>
    <w:rsid w:val="007A67AF"/>
    <w:rsid w:val="007A6C5B"/>
    <w:rsid w:val="007A700A"/>
    <w:rsid w:val="007A75EE"/>
    <w:rsid w:val="007A7673"/>
    <w:rsid w:val="007A7AF4"/>
    <w:rsid w:val="007A7BA7"/>
    <w:rsid w:val="007A7EFA"/>
    <w:rsid w:val="007B00DE"/>
    <w:rsid w:val="007B0153"/>
    <w:rsid w:val="007B0214"/>
    <w:rsid w:val="007B0C29"/>
    <w:rsid w:val="007B11C5"/>
    <w:rsid w:val="007B1886"/>
    <w:rsid w:val="007B1E48"/>
    <w:rsid w:val="007B2012"/>
    <w:rsid w:val="007B26DC"/>
    <w:rsid w:val="007B26EE"/>
    <w:rsid w:val="007B27AB"/>
    <w:rsid w:val="007B2CDC"/>
    <w:rsid w:val="007B2EC0"/>
    <w:rsid w:val="007B33B4"/>
    <w:rsid w:val="007B378D"/>
    <w:rsid w:val="007B38EB"/>
    <w:rsid w:val="007B3AE0"/>
    <w:rsid w:val="007B3D1D"/>
    <w:rsid w:val="007B4AFD"/>
    <w:rsid w:val="007B4D2A"/>
    <w:rsid w:val="007B52C1"/>
    <w:rsid w:val="007B5BCB"/>
    <w:rsid w:val="007B5F10"/>
    <w:rsid w:val="007B61A4"/>
    <w:rsid w:val="007B61EC"/>
    <w:rsid w:val="007B674A"/>
    <w:rsid w:val="007B6D8F"/>
    <w:rsid w:val="007B7133"/>
    <w:rsid w:val="007B7570"/>
    <w:rsid w:val="007B7E64"/>
    <w:rsid w:val="007C0004"/>
    <w:rsid w:val="007C00DB"/>
    <w:rsid w:val="007C01AF"/>
    <w:rsid w:val="007C09F1"/>
    <w:rsid w:val="007C0C30"/>
    <w:rsid w:val="007C1312"/>
    <w:rsid w:val="007C1AD9"/>
    <w:rsid w:val="007C1CE1"/>
    <w:rsid w:val="007C228A"/>
    <w:rsid w:val="007C2952"/>
    <w:rsid w:val="007C2B56"/>
    <w:rsid w:val="007C2E19"/>
    <w:rsid w:val="007C3C3E"/>
    <w:rsid w:val="007C40C2"/>
    <w:rsid w:val="007C4112"/>
    <w:rsid w:val="007C4178"/>
    <w:rsid w:val="007C4230"/>
    <w:rsid w:val="007C4810"/>
    <w:rsid w:val="007C4E14"/>
    <w:rsid w:val="007C557C"/>
    <w:rsid w:val="007C5DDA"/>
    <w:rsid w:val="007C6397"/>
    <w:rsid w:val="007C6747"/>
    <w:rsid w:val="007C6756"/>
    <w:rsid w:val="007C6B19"/>
    <w:rsid w:val="007C6E4E"/>
    <w:rsid w:val="007C752C"/>
    <w:rsid w:val="007C769A"/>
    <w:rsid w:val="007C7A7C"/>
    <w:rsid w:val="007D0584"/>
    <w:rsid w:val="007D0FA8"/>
    <w:rsid w:val="007D0FFF"/>
    <w:rsid w:val="007D310D"/>
    <w:rsid w:val="007D3138"/>
    <w:rsid w:val="007D3800"/>
    <w:rsid w:val="007D392C"/>
    <w:rsid w:val="007D3CEB"/>
    <w:rsid w:val="007D3D87"/>
    <w:rsid w:val="007D42B9"/>
    <w:rsid w:val="007D460A"/>
    <w:rsid w:val="007D48C3"/>
    <w:rsid w:val="007D4B66"/>
    <w:rsid w:val="007D4D5C"/>
    <w:rsid w:val="007D4E4C"/>
    <w:rsid w:val="007D5073"/>
    <w:rsid w:val="007D61DC"/>
    <w:rsid w:val="007D6CE5"/>
    <w:rsid w:val="007D7379"/>
    <w:rsid w:val="007D73AA"/>
    <w:rsid w:val="007D742D"/>
    <w:rsid w:val="007D7B3A"/>
    <w:rsid w:val="007E0454"/>
    <w:rsid w:val="007E0A39"/>
    <w:rsid w:val="007E131E"/>
    <w:rsid w:val="007E16DC"/>
    <w:rsid w:val="007E192E"/>
    <w:rsid w:val="007E2177"/>
    <w:rsid w:val="007E26EB"/>
    <w:rsid w:val="007E2CBA"/>
    <w:rsid w:val="007E2CE8"/>
    <w:rsid w:val="007E3105"/>
    <w:rsid w:val="007E31F7"/>
    <w:rsid w:val="007E3634"/>
    <w:rsid w:val="007E36D8"/>
    <w:rsid w:val="007E3AF8"/>
    <w:rsid w:val="007E4BB8"/>
    <w:rsid w:val="007E4C10"/>
    <w:rsid w:val="007E54BE"/>
    <w:rsid w:val="007E56E6"/>
    <w:rsid w:val="007E6069"/>
    <w:rsid w:val="007E60A7"/>
    <w:rsid w:val="007E68E8"/>
    <w:rsid w:val="007E7101"/>
    <w:rsid w:val="007E7143"/>
    <w:rsid w:val="007E737B"/>
    <w:rsid w:val="007E77E5"/>
    <w:rsid w:val="007E77FF"/>
    <w:rsid w:val="007E7BC8"/>
    <w:rsid w:val="007E7E0C"/>
    <w:rsid w:val="007F0208"/>
    <w:rsid w:val="007F0A5C"/>
    <w:rsid w:val="007F18A5"/>
    <w:rsid w:val="007F1A67"/>
    <w:rsid w:val="007F1D38"/>
    <w:rsid w:val="007F2265"/>
    <w:rsid w:val="007F2E35"/>
    <w:rsid w:val="007F33CA"/>
    <w:rsid w:val="007F35DE"/>
    <w:rsid w:val="007F378E"/>
    <w:rsid w:val="007F3CD5"/>
    <w:rsid w:val="007F401C"/>
    <w:rsid w:val="007F44F7"/>
    <w:rsid w:val="007F45B9"/>
    <w:rsid w:val="007F471D"/>
    <w:rsid w:val="007F4E93"/>
    <w:rsid w:val="007F4F54"/>
    <w:rsid w:val="007F5370"/>
    <w:rsid w:val="007F6E00"/>
    <w:rsid w:val="007F6FA2"/>
    <w:rsid w:val="007F723D"/>
    <w:rsid w:val="007F7C21"/>
    <w:rsid w:val="007F7E6B"/>
    <w:rsid w:val="007F7FE6"/>
    <w:rsid w:val="008003E6"/>
    <w:rsid w:val="0080133D"/>
    <w:rsid w:val="008015E7"/>
    <w:rsid w:val="00801627"/>
    <w:rsid w:val="008016C7"/>
    <w:rsid w:val="00801777"/>
    <w:rsid w:val="008018C2"/>
    <w:rsid w:val="008018DD"/>
    <w:rsid w:val="00801AEE"/>
    <w:rsid w:val="00801D37"/>
    <w:rsid w:val="00801DB8"/>
    <w:rsid w:val="008028C2"/>
    <w:rsid w:val="00802B76"/>
    <w:rsid w:val="00802BDA"/>
    <w:rsid w:val="008039A0"/>
    <w:rsid w:val="00803FAB"/>
    <w:rsid w:val="008041F5"/>
    <w:rsid w:val="00806213"/>
    <w:rsid w:val="008068F5"/>
    <w:rsid w:val="00806AAF"/>
    <w:rsid w:val="00807035"/>
    <w:rsid w:val="0080714C"/>
    <w:rsid w:val="0080763C"/>
    <w:rsid w:val="00807738"/>
    <w:rsid w:val="0081022B"/>
    <w:rsid w:val="0081072B"/>
    <w:rsid w:val="00810A62"/>
    <w:rsid w:val="00810D3D"/>
    <w:rsid w:val="008115B4"/>
    <w:rsid w:val="008117DA"/>
    <w:rsid w:val="00812017"/>
    <w:rsid w:val="008127C5"/>
    <w:rsid w:val="008127E6"/>
    <w:rsid w:val="00812892"/>
    <w:rsid w:val="00812BE8"/>
    <w:rsid w:val="00813579"/>
    <w:rsid w:val="00813C87"/>
    <w:rsid w:val="00813C9F"/>
    <w:rsid w:val="0081404F"/>
    <w:rsid w:val="00814217"/>
    <w:rsid w:val="00814267"/>
    <w:rsid w:val="0081472F"/>
    <w:rsid w:val="008150B3"/>
    <w:rsid w:val="00815D5A"/>
    <w:rsid w:val="00816280"/>
    <w:rsid w:val="00816536"/>
    <w:rsid w:val="00816797"/>
    <w:rsid w:val="00816862"/>
    <w:rsid w:val="00816BD0"/>
    <w:rsid w:val="00816FCE"/>
    <w:rsid w:val="00817166"/>
    <w:rsid w:val="0081762D"/>
    <w:rsid w:val="00817799"/>
    <w:rsid w:val="0082060A"/>
    <w:rsid w:val="00820CF0"/>
    <w:rsid w:val="00821389"/>
    <w:rsid w:val="008215D2"/>
    <w:rsid w:val="00821A3C"/>
    <w:rsid w:val="00821D63"/>
    <w:rsid w:val="0082212C"/>
    <w:rsid w:val="0082239F"/>
    <w:rsid w:val="008223B5"/>
    <w:rsid w:val="00822527"/>
    <w:rsid w:val="00822531"/>
    <w:rsid w:val="0082298C"/>
    <w:rsid w:val="0082336A"/>
    <w:rsid w:val="0082387E"/>
    <w:rsid w:val="00823D8B"/>
    <w:rsid w:val="00824056"/>
    <w:rsid w:val="00824524"/>
    <w:rsid w:val="00825A00"/>
    <w:rsid w:val="0082619C"/>
    <w:rsid w:val="008266BD"/>
    <w:rsid w:val="00826C5D"/>
    <w:rsid w:val="00826F57"/>
    <w:rsid w:val="00830143"/>
    <w:rsid w:val="008302EC"/>
    <w:rsid w:val="0083053A"/>
    <w:rsid w:val="00830704"/>
    <w:rsid w:val="00831010"/>
    <w:rsid w:val="00831603"/>
    <w:rsid w:val="00831AEF"/>
    <w:rsid w:val="00831BA6"/>
    <w:rsid w:val="0083205B"/>
    <w:rsid w:val="0083216D"/>
    <w:rsid w:val="008322D6"/>
    <w:rsid w:val="00833055"/>
    <w:rsid w:val="00833280"/>
    <w:rsid w:val="00833310"/>
    <w:rsid w:val="00833EA9"/>
    <w:rsid w:val="00833F19"/>
    <w:rsid w:val="0083420A"/>
    <w:rsid w:val="0083511F"/>
    <w:rsid w:val="0083578E"/>
    <w:rsid w:val="00835B51"/>
    <w:rsid w:val="00835D85"/>
    <w:rsid w:val="00836388"/>
    <w:rsid w:val="00836AE1"/>
    <w:rsid w:val="00836B5D"/>
    <w:rsid w:val="00836C02"/>
    <w:rsid w:val="00837067"/>
    <w:rsid w:val="00837316"/>
    <w:rsid w:val="008373C6"/>
    <w:rsid w:val="00837B96"/>
    <w:rsid w:val="00837DD9"/>
    <w:rsid w:val="00840125"/>
    <w:rsid w:val="008402EA"/>
    <w:rsid w:val="00840BD1"/>
    <w:rsid w:val="008414CD"/>
    <w:rsid w:val="00841963"/>
    <w:rsid w:val="00841BD4"/>
    <w:rsid w:val="008422D2"/>
    <w:rsid w:val="00842F2C"/>
    <w:rsid w:val="0084375B"/>
    <w:rsid w:val="00843A32"/>
    <w:rsid w:val="00844AB5"/>
    <w:rsid w:val="00844ADC"/>
    <w:rsid w:val="00844C34"/>
    <w:rsid w:val="00845125"/>
    <w:rsid w:val="00845347"/>
    <w:rsid w:val="00845F6A"/>
    <w:rsid w:val="00846960"/>
    <w:rsid w:val="00846B45"/>
    <w:rsid w:val="00846C2E"/>
    <w:rsid w:val="008471CB"/>
    <w:rsid w:val="008471FF"/>
    <w:rsid w:val="00847527"/>
    <w:rsid w:val="00847F66"/>
    <w:rsid w:val="008500CE"/>
    <w:rsid w:val="008501CB"/>
    <w:rsid w:val="0085034C"/>
    <w:rsid w:val="00850499"/>
    <w:rsid w:val="0085097F"/>
    <w:rsid w:val="00850A15"/>
    <w:rsid w:val="008510E1"/>
    <w:rsid w:val="008511D9"/>
    <w:rsid w:val="0085215E"/>
    <w:rsid w:val="00852B7B"/>
    <w:rsid w:val="00852BBA"/>
    <w:rsid w:val="00853CBB"/>
    <w:rsid w:val="00854270"/>
    <w:rsid w:val="008542F6"/>
    <w:rsid w:val="00854473"/>
    <w:rsid w:val="00854B1F"/>
    <w:rsid w:val="00855C42"/>
    <w:rsid w:val="00855C5C"/>
    <w:rsid w:val="00855E6A"/>
    <w:rsid w:val="00856419"/>
    <w:rsid w:val="0085670F"/>
    <w:rsid w:val="008567BB"/>
    <w:rsid w:val="00856A16"/>
    <w:rsid w:val="00856ACE"/>
    <w:rsid w:val="00856BE8"/>
    <w:rsid w:val="00857493"/>
    <w:rsid w:val="008577C9"/>
    <w:rsid w:val="0085796B"/>
    <w:rsid w:val="00857B83"/>
    <w:rsid w:val="00857CEC"/>
    <w:rsid w:val="00857F3C"/>
    <w:rsid w:val="008602E7"/>
    <w:rsid w:val="00860C68"/>
    <w:rsid w:val="00860D69"/>
    <w:rsid w:val="00861935"/>
    <w:rsid w:val="00861FB8"/>
    <w:rsid w:val="00862006"/>
    <w:rsid w:val="008625F2"/>
    <w:rsid w:val="00862979"/>
    <w:rsid w:val="00862A15"/>
    <w:rsid w:val="00862ACD"/>
    <w:rsid w:val="00862B80"/>
    <w:rsid w:val="00862FDD"/>
    <w:rsid w:val="0086370D"/>
    <w:rsid w:val="00863855"/>
    <w:rsid w:val="0086398A"/>
    <w:rsid w:val="00863A45"/>
    <w:rsid w:val="00864B02"/>
    <w:rsid w:val="00864B95"/>
    <w:rsid w:val="00865158"/>
    <w:rsid w:val="00865578"/>
    <w:rsid w:val="008655B3"/>
    <w:rsid w:val="0086594A"/>
    <w:rsid w:val="00866EEE"/>
    <w:rsid w:val="00867C19"/>
    <w:rsid w:val="00870AB4"/>
    <w:rsid w:val="00871047"/>
    <w:rsid w:val="00871114"/>
    <w:rsid w:val="008714F0"/>
    <w:rsid w:val="0087199D"/>
    <w:rsid w:val="008722C7"/>
    <w:rsid w:val="008722E7"/>
    <w:rsid w:val="00873285"/>
    <w:rsid w:val="00873905"/>
    <w:rsid w:val="00874ADA"/>
    <w:rsid w:val="00874CD5"/>
    <w:rsid w:val="00875397"/>
    <w:rsid w:val="00875412"/>
    <w:rsid w:val="00875551"/>
    <w:rsid w:val="008755FD"/>
    <w:rsid w:val="00875EE4"/>
    <w:rsid w:val="008762F3"/>
    <w:rsid w:val="0087690C"/>
    <w:rsid w:val="00877A8D"/>
    <w:rsid w:val="00877BE6"/>
    <w:rsid w:val="0088018F"/>
    <w:rsid w:val="0088024E"/>
    <w:rsid w:val="00880274"/>
    <w:rsid w:val="008806F2"/>
    <w:rsid w:val="00880A20"/>
    <w:rsid w:val="00880F32"/>
    <w:rsid w:val="00881066"/>
    <w:rsid w:val="0088106B"/>
    <w:rsid w:val="0088139E"/>
    <w:rsid w:val="00881780"/>
    <w:rsid w:val="00881AE7"/>
    <w:rsid w:val="00881AF8"/>
    <w:rsid w:val="00881E72"/>
    <w:rsid w:val="00882707"/>
    <w:rsid w:val="00882EF8"/>
    <w:rsid w:val="0088333B"/>
    <w:rsid w:val="00884460"/>
    <w:rsid w:val="00884587"/>
    <w:rsid w:val="00884845"/>
    <w:rsid w:val="00884B1D"/>
    <w:rsid w:val="00885C08"/>
    <w:rsid w:val="008861C1"/>
    <w:rsid w:val="008864B3"/>
    <w:rsid w:val="008867D7"/>
    <w:rsid w:val="00886C88"/>
    <w:rsid w:val="008876E4"/>
    <w:rsid w:val="00887B9B"/>
    <w:rsid w:val="00887CB0"/>
    <w:rsid w:val="00887DF3"/>
    <w:rsid w:val="00887F45"/>
    <w:rsid w:val="00890050"/>
    <w:rsid w:val="0089017C"/>
    <w:rsid w:val="008907A4"/>
    <w:rsid w:val="00892A1E"/>
    <w:rsid w:val="00892EA6"/>
    <w:rsid w:val="00892FB2"/>
    <w:rsid w:val="008936A3"/>
    <w:rsid w:val="0089371D"/>
    <w:rsid w:val="0089373F"/>
    <w:rsid w:val="00893FCF"/>
    <w:rsid w:val="008948E9"/>
    <w:rsid w:val="00895677"/>
    <w:rsid w:val="008959C9"/>
    <w:rsid w:val="00895A5A"/>
    <w:rsid w:val="00895E10"/>
    <w:rsid w:val="008968BA"/>
    <w:rsid w:val="00896C33"/>
    <w:rsid w:val="0089780C"/>
    <w:rsid w:val="00897883"/>
    <w:rsid w:val="00897C08"/>
    <w:rsid w:val="008A0A78"/>
    <w:rsid w:val="008A0FA9"/>
    <w:rsid w:val="008A1BF4"/>
    <w:rsid w:val="008A1D62"/>
    <w:rsid w:val="008A2350"/>
    <w:rsid w:val="008A2CBB"/>
    <w:rsid w:val="008A2EBA"/>
    <w:rsid w:val="008A36D1"/>
    <w:rsid w:val="008A493A"/>
    <w:rsid w:val="008A53CB"/>
    <w:rsid w:val="008A6F22"/>
    <w:rsid w:val="008A6FFD"/>
    <w:rsid w:val="008A7690"/>
    <w:rsid w:val="008A773B"/>
    <w:rsid w:val="008A7D51"/>
    <w:rsid w:val="008B0121"/>
    <w:rsid w:val="008B01A3"/>
    <w:rsid w:val="008B01D8"/>
    <w:rsid w:val="008B04CA"/>
    <w:rsid w:val="008B05DB"/>
    <w:rsid w:val="008B116F"/>
    <w:rsid w:val="008B29C5"/>
    <w:rsid w:val="008B2E58"/>
    <w:rsid w:val="008B3D77"/>
    <w:rsid w:val="008B3DA9"/>
    <w:rsid w:val="008B3F19"/>
    <w:rsid w:val="008B3F5C"/>
    <w:rsid w:val="008B40EC"/>
    <w:rsid w:val="008B4480"/>
    <w:rsid w:val="008B4C83"/>
    <w:rsid w:val="008B4C94"/>
    <w:rsid w:val="008B5981"/>
    <w:rsid w:val="008B5EAA"/>
    <w:rsid w:val="008B5F50"/>
    <w:rsid w:val="008B7671"/>
    <w:rsid w:val="008B7A8E"/>
    <w:rsid w:val="008B7AB6"/>
    <w:rsid w:val="008C0677"/>
    <w:rsid w:val="008C0A55"/>
    <w:rsid w:val="008C0B32"/>
    <w:rsid w:val="008C163B"/>
    <w:rsid w:val="008C1A61"/>
    <w:rsid w:val="008C1B59"/>
    <w:rsid w:val="008C1B81"/>
    <w:rsid w:val="008C203A"/>
    <w:rsid w:val="008C2112"/>
    <w:rsid w:val="008C26F6"/>
    <w:rsid w:val="008C2B4E"/>
    <w:rsid w:val="008C319F"/>
    <w:rsid w:val="008C36D2"/>
    <w:rsid w:val="008C3B60"/>
    <w:rsid w:val="008C4160"/>
    <w:rsid w:val="008C4482"/>
    <w:rsid w:val="008C4681"/>
    <w:rsid w:val="008C4717"/>
    <w:rsid w:val="008C4A18"/>
    <w:rsid w:val="008C4B1C"/>
    <w:rsid w:val="008C4EBD"/>
    <w:rsid w:val="008C505B"/>
    <w:rsid w:val="008C5513"/>
    <w:rsid w:val="008C5997"/>
    <w:rsid w:val="008C5C15"/>
    <w:rsid w:val="008C6099"/>
    <w:rsid w:val="008C614B"/>
    <w:rsid w:val="008C6756"/>
    <w:rsid w:val="008C6791"/>
    <w:rsid w:val="008C6A81"/>
    <w:rsid w:val="008C7B86"/>
    <w:rsid w:val="008D01D2"/>
    <w:rsid w:val="008D0209"/>
    <w:rsid w:val="008D022E"/>
    <w:rsid w:val="008D03A7"/>
    <w:rsid w:val="008D0513"/>
    <w:rsid w:val="008D1200"/>
    <w:rsid w:val="008D15CA"/>
    <w:rsid w:val="008D1802"/>
    <w:rsid w:val="008D23D8"/>
    <w:rsid w:val="008D297B"/>
    <w:rsid w:val="008D2D94"/>
    <w:rsid w:val="008D362E"/>
    <w:rsid w:val="008D3B7E"/>
    <w:rsid w:val="008D44D9"/>
    <w:rsid w:val="008D4FD7"/>
    <w:rsid w:val="008D5459"/>
    <w:rsid w:val="008D5841"/>
    <w:rsid w:val="008D673F"/>
    <w:rsid w:val="008D722C"/>
    <w:rsid w:val="008D7E3E"/>
    <w:rsid w:val="008D7E4B"/>
    <w:rsid w:val="008E0385"/>
    <w:rsid w:val="008E05EB"/>
    <w:rsid w:val="008E086E"/>
    <w:rsid w:val="008E0D36"/>
    <w:rsid w:val="008E0E05"/>
    <w:rsid w:val="008E0FF9"/>
    <w:rsid w:val="008E2A2D"/>
    <w:rsid w:val="008E2B76"/>
    <w:rsid w:val="008E3780"/>
    <w:rsid w:val="008E4650"/>
    <w:rsid w:val="008E4AB6"/>
    <w:rsid w:val="008E4B87"/>
    <w:rsid w:val="008E4BA5"/>
    <w:rsid w:val="008E4BBF"/>
    <w:rsid w:val="008E4EAA"/>
    <w:rsid w:val="008E4FD1"/>
    <w:rsid w:val="008E5493"/>
    <w:rsid w:val="008E580F"/>
    <w:rsid w:val="008E65F9"/>
    <w:rsid w:val="008E6651"/>
    <w:rsid w:val="008E69DA"/>
    <w:rsid w:val="008E6D95"/>
    <w:rsid w:val="008E7456"/>
    <w:rsid w:val="008E7950"/>
    <w:rsid w:val="008F0328"/>
    <w:rsid w:val="008F0669"/>
    <w:rsid w:val="008F08DC"/>
    <w:rsid w:val="008F0CAD"/>
    <w:rsid w:val="008F131F"/>
    <w:rsid w:val="008F1C0D"/>
    <w:rsid w:val="008F1D11"/>
    <w:rsid w:val="008F2393"/>
    <w:rsid w:val="008F24C8"/>
    <w:rsid w:val="008F2705"/>
    <w:rsid w:val="008F2C94"/>
    <w:rsid w:val="008F2D8F"/>
    <w:rsid w:val="008F30FD"/>
    <w:rsid w:val="008F3180"/>
    <w:rsid w:val="008F37B6"/>
    <w:rsid w:val="008F39AC"/>
    <w:rsid w:val="008F3DC6"/>
    <w:rsid w:val="008F41BF"/>
    <w:rsid w:val="008F4A10"/>
    <w:rsid w:val="008F5ACC"/>
    <w:rsid w:val="008F5CB0"/>
    <w:rsid w:val="008F5DCE"/>
    <w:rsid w:val="008F61E3"/>
    <w:rsid w:val="008F6DC4"/>
    <w:rsid w:val="008F71E4"/>
    <w:rsid w:val="008F739E"/>
    <w:rsid w:val="009003CE"/>
    <w:rsid w:val="00900894"/>
    <w:rsid w:val="009012DF"/>
    <w:rsid w:val="00901C17"/>
    <w:rsid w:val="00902176"/>
    <w:rsid w:val="00902270"/>
    <w:rsid w:val="00902B86"/>
    <w:rsid w:val="00902FD4"/>
    <w:rsid w:val="00903715"/>
    <w:rsid w:val="00903EFD"/>
    <w:rsid w:val="00904617"/>
    <w:rsid w:val="00904A32"/>
    <w:rsid w:val="00904A6E"/>
    <w:rsid w:val="00904D55"/>
    <w:rsid w:val="00905826"/>
    <w:rsid w:val="00905EAB"/>
    <w:rsid w:val="00906183"/>
    <w:rsid w:val="00906951"/>
    <w:rsid w:val="00906A8B"/>
    <w:rsid w:val="009074B1"/>
    <w:rsid w:val="00907B87"/>
    <w:rsid w:val="00907D8A"/>
    <w:rsid w:val="009106F0"/>
    <w:rsid w:val="009109D4"/>
    <w:rsid w:val="00910B8A"/>
    <w:rsid w:val="00910F10"/>
    <w:rsid w:val="0091155D"/>
    <w:rsid w:val="00911CB0"/>
    <w:rsid w:val="00911FBF"/>
    <w:rsid w:val="00912109"/>
    <w:rsid w:val="0091237B"/>
    <w:rsid w:val="009124A7"/>
    <w:rsid w:val="0091252B"/>
    <w:rsid w:val="00912A74"/>
    <w:rsid w:val="00913F47"/>
    <w:rsid w:val="00914211"/>
    <w:rsid w:val="00914279"/>
    <w:rsid w:val="0091571F"/>
    <w:rsid w:val="009157BD"/>
    <w:rsid w:val="00915A54"/>
    <w:rsid w:val="00915B53"/>
    <w:rsid w:val="00916424"/>
    <w:rsid w:val="0091698D"/>
    <w:rsid w:val="009176DB"/>
    <w:rsid w:val="0091774A"/>
    <w:rsid w:val="009201F6"/>
    <w:rsid w:val="00920DA3"/>
    <w:rsid w:val="00920E98"/>
    <w:rsid w:val="0092106D"/>
    <w:rsid w:val="0092109B"/>
    <w:rsid w:val="009211AF"/>
    <w:rsid w:val="009214E0"/>
    <w:rsid w:val="00921600"/>
    <w:rsid w:val="00921881"/>
    <w:rsid w:val="00921985"/>
    <w:rsid w:val="0092217F"/>
    <w:rsid w:val="00922333"/>
    <w:rsid w:val="00922944"/>
    <w:rsid w:val="00922B64"/>
    <w:rsid w:val="00922D56"/>
    <w:rsid w:val="00922E8D"/>
    <w:rsid w:val="009234D9"/>
    <w:rsid w:val="00923538"/>
    <w:rsid w:val="00923848"/>
    <w:rsid w:val="00923874"/>
    <w:rsid w:val="00923DB1"/>
    <w:rsid w:val="009241D9"/>
    <w:rsid w:val="009246F0"/>
    <w:rsid w:val="0092478F"/>
    <w:rsid w:val="00924F24"/>
    <w:rsid w:val="00924FF6"/>
    <w:rsid w:val="0092502B"/>
    <w:rsid w:val="009259A1"/>
    <w:rsid w:val="00926DC0"/>
    <w:rsid w:val="009276FB"/>
    <w:rsid w:val="009277DC"/>
    <w:rsid w:val="00927814"/>
    <w:rsid w:val="00927A7B"/>
    <w:rsid w:val="00927C9E"/>
    <w:rsid w:val="0093016C"/>
    <w:rsid w:val="009306EA"/>
    <w:rsid w:val="00930D40"/>
    <w:rsid w:val="009313D5"/>
    <w:rsid w:val="00931C6F"/>
    <w:rsid w:val="00932CA2"/>
    <w:rsid w:val="0093329A"/>
    <w:rsid w:val="00934034"/>
    <w:rsid w:val="009342E0"/>
    <w:rsid w:val="009343CE"/>
    <w:rsid w:val="00934824"/>
    <w:rsid w:val="00934929"/>
    <w:rsid w:val="00934BA4"/>
    <w:rsid w:val="00934C11"/>
    <w:rsid w:val="009350B1"/>
    <w:rsid w:val="00935A90"/>
    <w:rsid w:val="00935D89"/>
    <w:rsid w:val="00936077"/>
    <w:rsid w:val="009360C3"/>
    <w:rsid w:val="00936388"/>
    <w:rsid w:val="00936A5A"/>
    <w:rsid w:val="00936EAB"/>
    <w:rsid w:val="00937F8D"/>
    <w:rsid w:val="0094017F"/>
    <w:rsid w:val="0094083F"/>
    <w:rsid w:val="00940903"/>
    <w:rsid w:val="00941050"/>
    <w:rsid w:val="00941230"/>
    <w:rsid w:val="009417F1"/>
    <w:rsid w:val="009431BD"/>
    <w:rsid w:val="00943603"/>
    <w:rsid w:val="00943700"/>
    <w:rsid w:val="00943A9D"/>
    <w:rsid w:val="00943B89"/>
    <w:rsid w:val="00944C85"/>
    <w:rsid w:val="00945235"/>
    <w:rsid w:val="00945575"/>
    <w:rsid w:val="00945683"/>
    <w:rsid w:val="0094581D"/>
    <w:rsid w:val="00945D01"/>
    <w:rsid w:val="00945F86"/>
    <w:rsid w:val="00946099"/>
    <w:rsid w:val="009460BE"/>
    <w:rsid w:val="0094617F"/>
    <w:rsid w:val="00946248"/>
    <w:rsid w:val="00946ADE"/>
    <w:rsid w:val="00946E92"/>
    <w:rsid w:val="00946F19"/>
    <w:rsid w:val="0094735A"/>
    <w:rsid w:val="0094737B"/>
    <w:rsid w:val="00947BBE"/>
    <w:rsid w:val="00951167"/>
    <w:rsid w:val="0095139D"/>
    <w:rsid w:val="00951AEE"/>
    <w:rsid w:val="00951DF4"/>
    <w:rsid w:val="00951F85"/>
    <w:rsid w:val="009528D3"/>
    <w:rsid w:val="00952BCF"/>
    <w:rsid w:val="00953923"/>
    <w:rsid w:val="0095408F"/>
    <w:rsid w:val="009555E7"/>
    <w:rsid w:val="00956738"/>
    <w:rsid w:val="00956C4B"/>
    <w:rsid w:val="00957017"/>
    <w:rsid w:val="009570BC"/>
    <w:rsid w:val="00957173"/>
    <w:rsid w:val="009579E1"/>
    <w:rsid w:val="00957B6C"/>
    <w:rsid w:val="009603C7"/>
    <w:rsid w:val="0096043E"/>
    <w:rsid w:val="009607D3"/>
    <w:rsid w:val="009609A2"/>
    <w:rsid w:val="00960BC4"/>
    <w:rsid w:val="00961539"/>
    <w:rsid w:val="009621D4"/>
    <w:rsid w:val="00962AAC"/>
    <w:rsid w:val="00963512"/>
    <w:rsid w:val="009640C4"/>
    <w:rsid w:val="00964A6C"/>
    <w:rsid w:val="00965119"/>
    <w:rsid w:val="0096604D"/>
    <w:rsid w:val="00966E1A"/>
    <w:rsid w:val="00966F94"/>
    <w:rsid w:val="00967174"/>
    <w:rsid w:val="00967318"/>
    <w:rsid w:val="00967BF5"/>
    <w:rsid w:val="00967C92"/>
    <w:rsid w:val="00970B58"/>
    <w:rsid w:val="00970C83"/>
    <w:rsid w:val="00970D2D"/>
    <w:rsid w:val="00971644"/>
    <w:rsid w:val="00971668"/>
    <w:rsid w:val="0097174A"/>
    <w:rsid w:val="00971FCB"/>
    <w:rsid w:val="0097203C"/>
    <w:rsid w:val="009721BB"/>
    <w:rsid w:val="0097237C"/>
    <w:rsid w:val="00972812"/>
    <w:rsid w:val="00972B2B"/>
    <w:rsid w:val="00972D56"/>
    <w:rsid w:val="00972F1E"/>
    <w:rsid w:val="00973588"/>
    <w:rsid w:val="009736B7"/>
    <w:rsid w:val="009739D9"/>
    <w:rsid w:val="00973E65"/>
    <w:rsid w:val="00973EFC"/>
    <w:rsid w:val="00973F12"/>
    <w:rsid w:val="00974980"/>
    <w:rsid w:val="00974B01"/>
    <w:rsid w:val="00974CEB"/>
    <w:rsid w:val="00974F02"/>
    <w:rsid w:val="00974F75"/>
    <w:rsid w:val="00974F83"/>
    <w:rsid w:val="009754A9"/>
    <w:rsid w:val="00975624"/>
    <w:rsid w:val="009758AA"/>
    <w:rsid w:val="0097598C"/>
    <w:rsid w:val="009759AF"/>
    <w:rsid w:val="00975DA9"/>
    <w:rsid w:val="00976036"/>
    <w:rsid w:val="00976764"/>
    <w:rsid w:val="009769E9"/>
    <w:rsid w:val="00976BF0"/>
    <w:rsid w:val="00977D30"/>
    <w:rsid w:val="00977DA5"/>
    <w:rsid w:val="009802DE"/>
    <w:rsid w:val="009804A1"/>
    <w:rsid w:val="00980947"/>
    <w:rsid w:val="0098183E"/>
    <w:rsid w:val="00981F26"/>
    <w:rsid w:val="00982C23"/>
    <w:rsid w:val="00983672"/>
    <w:rsid w:val="00983789"/>
    <w:rsid w:val="009838C6"/>
    <w:rsid w:val="00984EBF"/>
    <w:rsid w:val="00984F73"/>
    <w:rsid w:val="00985001"/>
    <w:rsid w:val="009850F1"/>
    <w:rsid w:val="00985486"/>
    <w:rsid w:val="009864EE"/>
    <w:rsid w:val="009866C6"/>
    <w:rsid w:val="009866EB"/>
    <w:rsid w:val="00987895"/>
    <w:rsid w:val="00987937"/>
    <w:rsid w:val="00990A78"/>
    <w:rsid w:val="009915C7"/>
    <w:rsid w:val="009918F5"/>
    <w:rsid w:val="009921F4"/>
    <w:rsid w:val="00992562"/>
    <w:rsid w:val="009926C0"/>
    <w:rsid w:val="0099285D"/>
    <w:rsid w:val="00992CAF"/>
    <w:rsid w:val="0099337C"/>
    <w:rsid w:val="009938A6"/>
    <w:rsid w:val="00993A27"/>
    <w:rsid w:val="00993A60"/>
    <w:rsid w:val="00993C9F"/>
    <w:rsid w:val="00993FAD"/>
    <w:rsid w:val="009940E7"/>
    <w:rsid w:val="0099441A"/>
    <w:rsid w:val="0099485D"/>
    <w:rsid w:val="00994CBA"/>
    <w:rsid w:val="00995127"/>
    <w:rsid w:val="009958D1"/>
    <w:rsid w:val="00996DA5"/>
    <w:rsid w:val="00996EF4"/>
    <w:rsid w:val="0099700A"/>
    <w:rsid w:val="009973ED"/>
    <w:rsid w:val="009A049B"/>
    <w:rsid w:val="009A072D"/>
    <w:rsid w:val="009A0F3B"/>
    <w:rsid w:val="009A1DC9"/>
    <w:rsid w:val="009A2055"/>
    <w:rsid w:val="009A22FC"/>
    <w:rsid w:val="009A28CE"/>
    <w:rsid w:val="009A2D65"/>
    <w:rsid w:val="009A2EAC"/>
    <w:rsid w:val="009A316F"/>
    <w:rsid w:val="009A37C5"/>
    <w:rsid w:val="009A3A36"/>
    <w:rsid w:val="009A424E"/>
    <w:rsid w:val="009A45F9"/>
    <w:rsid w:val="009A52E9"/>
    <w:rsid w:val="009A556E"/>
    <w:rsid w:val="009A5612"/>
    <w:rsid w:val="009A5A9F"/>
    <w:rsid w:val="009A5B90"/>
    <w:rsid w:val="009A66B2"/>
    <w:rsid w:val="009A757A"/>
    <w:rsid w:val="009B0031"/>
    <w:rsid w:val="009B0164"/>
    <w:rsid w:val="009B0367"/>
    <w:rsid w:val="009B102B"/>
    <w:rsid w:val="009B1570"/>
    <w:rsid w:val="009B1C0A"/>
    <w:rsid w:val="009B1CD8"/>
    <w:rsid w:val="009B2194"/>
    <w:rsid w:val="009B27C7"/>
    <w:rsid w:val="009B2EC5"/>
    <w:rsid w:val="009B3344"/>
    <w:rsid w:val="009B3508"/>
    <w:rsid w:val="009B3A87"/>
    <w:rsid w:val="009B46D7"/>
    <w:rsid w:val="009B46FE"/>
    <w:rsid w:val="009B4CC4"/>
    <w:rsid w:val="009B4E4C"/>
    <w:rsid w:val="009B4FB9"/>
    <w:rsid w:val="009B4FD4"/>
    <w:rsid w:val="009B504C"/>
    <w:rsid w:val="009B506A"/>
    <w:rsid w:val="009B5211"/>
    <w:rsid w:val="009B52BD"/>
    <w:rsid w:val="009B5399"/>
    <w:rsid w:val="009B746D"/>
    <w:rsid w:val="009B77D4"/>
    <w:rsid w:val="009B7947"/>
    <w:rsid w:val="009B7BBC"/>
    <w:rsid w:val="009B7D5A"/>
    <w:rsid w:val="009C009B"/>
    <w:rsid w:val="009C06C7"/>
    <w:rsid w:val="009C0CB1"/>
    <w:rsid w:val="009C0E59"/>
    <w:rsid w:val="009C14AE"/>
    <w:rsid w:val="009C18A4"/>
    <w:rsid w:val="009C2013"/>
    <w:rsid w:val="009C22AA"/>
    <w:rsid w:val="009C2345"/>
    <w:rsid w:val="009C31FC"/>
    <w:rsid w:val="009C39E9"/>
    <w:rsid w:val="009C3B63"/>
    <w:rsid w:val="009C3BD7"/>
    <w:rsid w:val="009C3BE9"/>
    <w:rsid w:val="009C42DB"/>
    <w:rsid w:val="009C449B"/>
    <w:rsid w:val="009C4C16"/>
    <w:rsid w:val="009C52A7"/>
    <w:rsid w:val="009C5434"/>
    <w:rsid w:val="009C5456"/>
    <w:rsid w:val="009C548C"/>
    <w:rsid w:val="009C5547"/>
    <w:rsid w:val="009C5803"/>
    <w:rsid w:val="009C5E94"/>
    <w:rsid w:val="009C62D3"/>
    <w:rsid w:val="009C69E8"/>
    <w:rsid w:val="009C6B31"/>
    <w:rsid w:val="009C7529"/>
    <w:rsid w:val="009C78E8"/>
    <w:rsid w:val="009D082B"/>
    <w:rsid w:val="009D11A9"/>
    <w:rsid w:val="009D156C"/>
    <w:rsid w:val="009D166E"/>
    <w:rsid w:val="009D239C"/>
    <w:rsid w:val="009D261C"/>
    <w:rsid w:val="009D2DB2"/>
    <w:rsid w:val="009D2F7B"/>
    <w:rsid w:val="009D3152"/>
    <w:rsid w:val="009D3F20"/>
    <w:rsid w:val="009D42A1"/>
    <w:rsid w:val="009D5227"/>
    <w:rsid w:val="009D5497"/>
    <w:rsid w:val="009D555A"/>
    <w:rsid w:val="009D5573"/>
    <w:rsid w:val="009D57E0"/>
    <w:rsid w:val="009D5D08"/>
    <w:rsid w:val="009D680A"/>
    <w:rsid w:val="009D6CEC"/>
    <w:rsid w:val="009D6D23"/>
    <w:rsid w:val="009D7A27"/>
    <w:rsid w:val="009E00D5"/>
    <w:rsid w:val="009E06CA"/>
    <w:rsid w:val="009E0AEA"/>
    <w:rsid w:val="009E0F12"/>
    <w:rsid w:val="009E13C2"/>
    <w:rsid w:val="009E1435"/>
    <w:rsid w:val="009E25D2"/>
    <w:rsid w:val="009E2758"/>
    <w:rsid w:val="009E2F32"/>
    <w:rsid w:val="009E394C"/>
    <w:rsid w:val="009E3DC3"/>
    <w:rsid w:val="009E40F8"/>
    <w:rsid w:val="009E4249"/>
    <w:rsid w:val="009E4B99"/>
    <w:rsid w:val="009E4CF5"/>
    <w:rsid w:val="009E5118"/>
    <w:rsid w:val="009E5382"/>
    <w:rsid w:val="009E60DC"/>
    <w:rsid w:val="009E6BE6"/>
    <w:rsid w:val="009E6F25"/>
    <w:rsid w:val="009E77CA"/>
    <w:rsid w:val="009E7AC3"/>
    <w:rsid w:val="009E7BDB"/>
    <w:rsid w:val="009F0128"/>
    <w:rsid w:val="009F0B78"/>
    <w:rsid w:val="009F0BE5"/>
    <w:rsid w:val="009F0D22"/>
    <w:rsid w:val="009F13D8"/>
    <w:rsid w:val="009F1AAB"/>
    <w:rsid w:val="009F1BFC"/>
    <w:rsid w:val="009F1E07"/>
    <w:rsid w:val="009F1F37"/>
    <w:rsid w:val="009F1F95"/>
    <w:rsid w:val="009F21E7"/>
    <w:rsid w:val="009F254A"/>
    <w:rsid w:val="009F2B0A"/>
    <w:rsid w:val="009F2B9D"/>
    <w:rsid w:val="009F30D5"/>
    <w:rsid w:val="009F358F"/>
    <w:rsid w:val="009F3603"/>
    <w:rsid w:val="009F3AFC"/>
    <w:rsid w:val="009F3E10"/>
    <w:rsid w:val="009F41F4"/>
    <w:rsid w:val="009F453F"/>
    <w:rsid w:val="009F45B9"/>
    <w:rsid w:val="009F45FE"/>
    <w:rsid w:val="009F48A3"/>
    <w:rsid w:val="009F50FB"/>
    <w:rsid w:val="009F5DFF"/>
    <w:rsid w:val="009F6C85"/>
    <w:rsid w:val="009F6FEB"/>
    <w:rsid w:val="009F702A"/>
    <w:rsid w:val="00A00911"/>
    <w:rsid w:val="00A01108"/>
    <w:rsid w:val="00A01188"/>
    <w:rsid w:val="00A0149C"/>
    <w:rsid w:val="00A01720"/>
    <w:rsid w:val="00A01837"/>
    <w:rsid w:val="00A0186D"/>
    <w:rsid w:val="00A0194D"/>
    <w:rsid w:val="00A01C43"/>
    <w:rsid w:val="00A0232F"/>
    <w:rsid w:val="00A02667"/>
    <w:rsid w:val="00A0275E"/>
    <w:rsid w:val="00A02B7A"/>
    <w:rsid w:val="00A02D87"/>
    <w:rsid w:val="00A02DCA"/>
    <w:rsid w:val="00A02E91"/>
    <w:rsid w:val="00A0317B"/>
    <w:rsid w:val="00A03E53"/>
    <w:rsid w:val="00A041E8"/>
    <w:rsid w:val="00A04822"/>
    <w:rsid w:val="00A04A38"/>
    <w:rsid w:val="00A05148"/>
    <w:rsid w:val="00A05432"/>
    <w:rsid w:val="00A05687"/>
    <w:rsid w:val="00A05B8E"/>
    <w:rsid w:val="00A05F12"/>
    <w:rsid w:val="00A05F1A"/>
    <w:rsid w:val="00A0602A"/>
    <w:rsid w:val="00A060CB"/>
    <w:rsid w:val="00A069E1"/>
    <w:rsid w:val="00A06F86"/>
    <w:rsid w:val="00A107C7"/>
    <w:rsid w:val="00A10C31"/>
    <w:rsid w:val="00A111D4"/>
    <w:rsid w:val="00A11533"/>
    <w:rsid w:val="00A1158D"/>
    <w:rsid w:val="00A11FFA"/>
    <w:rsid w:val="00A1230D"/>
    <w:rsid w:val="00A126FC"/>
    <w:rsid w:val="00A137E6"/>
    <w:rsid w:val="00A13810"/>
    <w:rsid w:val="00A138ED"/>
    <w:rsid w:val="00A13A50"/>
    <w:rsid w:val="00A13E1A"/>
    <w:rsid w:val="00A13EB1"/>
    <w:rsid w:val="00A13F7E"/>
    <w:rsid w:val="00A1409D"/>
    <w:rsid w:val="00A14BE8"/>
    <w:rsid w:val="00A158F3"/>
    <w:rsid w:val="00A165C0"/>
    <w:rsid w:val="00A16BA3"/>
    <w:rsid w:val="00A16EDA"/>
    <w:rsid w:val="00A173B1"/>
    <w:rsid w:val="00A17E81"/>
    <w:rsid w:val="00A2060D"/>
    <w:rsid w:val="00A20973"/>
    <w:rsid w:val="00A20D11"/>
    <w:rsid w:val="00A213AC"/>
    <w:rsid w:val="00A21485"/>
    <w:rsid w:val="00A21640"/>
    <w:rsid w:val="00A22790"/>
    <w:rsid w:val="00A229B2"/>
    <w:rsid w:val="00A243D1"/>
    <w:rsid w:val="00A2510F"/>
    <w:rsid w:val="00A25777"/>
    <w:rsid w:val="00A25BFD"/>
    <w:rsid w:val="00A25CB6"/>
    <w:rsid w:val="00A263F8"/>
    <w:rsid w:val="00A264E2"/>
    <w:rsid w:val="00A265BC"/>
    <w:rsid w:val="00A26622"/>
    <w:rsid w:val="00A26629"/>
    <w:rsid w:val="00A26659"/>
    <w:rsid w:val="00A269C0"/>
    <w:rsid w:val="00A26C6E"/>
    <w:rsid w:val="00A2719B"/>
    <w:rsid w:val="00A2725D"/>
    <w:rsid w:val="00A27A76"/>
    <w:rsid w:val="00A31003"/>
    <w:rsid w:val="00A31285"/>
    <w:rsid w:val="00A315CE"/>
    <w:rsid w:val="00A31945"/>
    <w:rsid w:val="00A32172"/>
    <w:rsid w:val="00A32DD0"/>
    <w:rsid w:val="00A32F88"/>
    <w:rsid w:val="00A33018"/>
    <w:rsid w:val="00A333E0"/>
    <w:rsid w:val="00A3347A"/>
    <w:rsid w:val="00A33727"/>
    <w:rsid w:val="00A33848"/>
    <w:rsid w:val="00A33948"/>
    <w:rsid w:val="00A34065"/>
    <w:rsid w:val="00A34CE2"/>
    <w:rsid w:val="00A34DA5"/>
    <w:rsid w:val="00A35071"/>
    <w:rsid w:val="00A350D7"/>
    <w:rsid w:val="00A352EE"/>
    <w:rsid w:val="00A355E9"/>
    <w:rsid w:val="00A35990"/>
    <w:rsid w:val="00A362C2"/>
    <w:rsid w:val="00A36685"/>
    <w:rsid w:val="00A3678E"/>
    <w:rsid w:val="00A36861"/>
    <w:rsid w:val="00A37387"/>
    <w:rsid w:val="00A374D0"/>
    <w:rsid w:val="00A378BF"/>
    <w:rsid w:val="00A37D72"/>
    <w:rsid w:val="00A37E02"/>
    <w:rsid w:val="00A40584"/>
    <w:rsid w:val="00A41395"/>
    <w:rsid w:val="00A4170A"/>
    <w:rsid w:val="00A419C0"/>
    <w:rsid w:val="00A424F5"/>
    <w:rsid w:val="00A4265D"/>
    <w:rsid w:val="00A4271E"/>
    <w:rsid w:val="00A42C98"/>
    <w:rsid w:val="00A43004"/>
    <w:rsid w:val="00A43402"/>
    <w:rsid w:val="00A43BE6"/>
    <w:rsid w:val="00A43F05"/>
    <w:rsid w:val="00A446CE"/>
    <w:rsid w:val="00A44B2D"/>
    <w:rsid w:val="00A44EC5"/>
    <w:rsid w:val="00A45091"/>
    <w:rsid w:val="00A4538D"/>
    <w:rsid w:val="00A45558"/>
    <w:rsid w:val="00A468FC"/>
    <w:rsid w:val="00A46BCC"/>
    <w:rsid w:val="00A46CBC"/>
    <w:rsid w:val="00A46ECF"/>
    <w:rsid w:val="00A476CC"/>
    <w:rsid w:val="00A478A8"/>
    <w:rsid w:val="00A47B97"/>
    <w:rsid w:val="00A500D7"/>
    <w:rsid w:val="00A509BE"/>
    <w:rsid w:val="00A50A85"/>
    <w:rsid w:val="00A50AF7"/>
    <w:rsid w:val="00A50BB2"/>
    <w:rsid w:val="00A50F74"/>
    <w:rsid w:val="00A51898"/>
    <w:rsid w:val="00A51D29"/>
    <w:rsid w:val="00A521A1"/>
    <w:rsid w:val="00A521C3"/>
    <w:rsid w:val="00A52666"/>
    <w:rsid w:val="00A52E48"/>
    <w:rsid w:val="00A5309C"/>
    <w:rsid w:val="00A539E6"/>
    <w:rsid w:val="00A53DE6"/>
    <w:rsid w:val="00A547C3"/>
    <w:rsid w:val="00A54977"/>
    <w:rsid w:val="00A54CFE"/>
    <w:rsid w:val="00A56A6A"/>
    <w:rsid w:val="00A56A76"/>
    <w:rsid w:val="00A56EB9"/>
    <w:rsid w:val="00A56F3B"/>
    <w:rsid w:val="00A56F8A"/>
    <w:rsid w:val="00A56F90"/>
    <w:rsid w:val="00A57407"/>
    <w:rsid w:val="00A60377"/>
    <w:rsid w:val="00A6037B"/>
    <w:rsid w:val="00A603F3"/>
    <w:rsid w:val="00A61A04"/>
    <w:rsid w:val="00A6220E"/>
    <w:rsid w:val="00A6322E"/>
    <w:rsid w:val="00A63BC9"/>
    <w:rsid w:val="00A63D93"/>
    <w:rsid w:val="00A64473"/>
    <w:rsid w:val="00A64FCC"/>
    <w:rsid w:val="00A65B53"/>
    <w:rsid w:val="00A65D5B"/>
    <w:rsid w:val="00A66B30"/>
    <w:rsid w:val="00A67032"/>
    <w:rsid w:val="00A67551"/>
    <w:rsid w:val="00A67F6F"/>
    <w:rsid w:val="00A70F0A"/>
    <w:rsid w:val="00A71D6D"/>
    <w:rsid w:val="00A7259C"/>
    <w:rsid w:val="00A7297A"/>
    <w:rsid w:val="00A72BF1"/>
    <w:rsid w:val="00A72F3C"/>
    <w:rsid w:val="00A73010"/>
    <w:rsid w:val="00A730E7"/>
    <w:rsid w:val="00A73109"/>
    <w:rsid w:val="00A733AA"/>
    <w:rsid w:val="00A73FAD"/>
    <w:rsid w:val="00A743A8"/>
    <w:rsid w:val="00A74B2A"/>
    <w:rsid w:val="00A74B42"/>
    <w:rsid w:val="00A75276"/>
    <w:rsid w:val="00A753CF"/>
    <w:rsid w:val="00A75791"/>
    <w:rsid w:val="00A759C7"/>
    <w:rsid w:val="00A75EB4"/>
    <w:rsid w:val="00A762DE"/>
    <w:rsid w:val="00A7644D"/>
    <w:rsid w:val="00A7647A"/>
    <w:rsid w:val="00A76CAA"/>
    <w:rsid w:val="00A76FEC"/>
    <w:rsid w:val="00A771CF"/>
    <w:rsid w:val="00A7750C"/>
    <w:rsid w:val="00A77858"/>
    <w:rsid w:val="00A77886"/>
    <w:rsid w:val="00A77E70"/>
    <w:rsid w:val="00A8049A"/>
    <w:rsid w:val="00A806AD"/>
    <w:rsid w:val="00A80A76"/>
    <w:rsid w:val="00A80B99"/>
    <w:rsid w:val="00A80E42"/>
    <w:rsid w:val="00A81358"/>
    <w:rsid w:val="00A8248D"/>
    <w:rsid w:val="00A82760"/>
    <w:rsid w:val="00A83044"/>
    <w:rsid w:val="00A83451"/>
    <w:rsid w:val="00A83456"/>
    <w:rsid w:val="00A83B6B"/>
    <w:rsid w:val="00A8418D"/>
    <w:rsid w:val="00A84C44"/>
    <w:rsid w:val="00A84DCA"/>
    <w:rsid w:val="00A853FE"/>
    <w:rsid w:val="00A856FC"/>
    <w:rsid w:val="00A85996"/>
    <w:rsid w:val="00A85E75"/>
    <w:rsid w:val="00A868F3"/>
    <w:rsid w:val="00A87DA8"/>
    <w:rsid w:val="00A905BC"/>
    <w:rsid w:val="00A90880"/>
    <w:rsid w:val="00A90B07"/>
    <w:rsid w:val="00A90E7D"/>
    <w:rsid w:val="00A9127D"/>
    <w:rsid w:val="00A91757"/>
    <w:rsid w:val="00A91EAF"/>
    <w:rsid w:val="00A92425"/>
    <w:rsid w:val="00A9263C"/>
    <w:rsid w:val="00A92E2F"/>
    <w:rsid w:val="00A9313D"/>
    <w:rsid w:val="00A931FD"/>
    <w:rsid w:val="00A9332B"/>
    <w:rsid w:val="00A93D22"/>
    <w:rsid w:val="00A94896"/>
    <w:rsid w:val="00A94DDB"/>
    <w:rsid w:val="00A94F48"/>
    <w:rsid w:val="00A958C9"/>
    <w:rsid w:val="00A9633D"/>
    <w:rsid w:val="00A9681B"/>
    <w:rsid w:val="00A96E84"/>
    <w:rsid w:val="00A97019"/>
    <w:rsid w:val="00A977D7"/>
    <w:rsid w:val="00A9785C"/>
    <w:rsid w:val="00A97DFC"/>
    <w:rsid w:val="00A97F1A"/>
    <w:rsid w:val="00AA0332"/>
    <w:rsid w:val="00AA0CBC"/>
    <w:rsid w:val="00AA0DE0"/>
    <w:rsid w:val="00AA1071"/>
    <w:rsid w:val="00AA1097"/>
    <w:rsid w:val="00AA1533"/>
    <w:rsid w:val="00AA2CDD"/>
    <w:rsid w:val="00AA2E48"/>
    <w:rsid w:val="00AA3014"/>
    <w:rsid w:val="00AA394E"/>
    <w:rsid w:val="00AA3CAC"/>
    <w:rsid w:val="00AA4E1E"/>
    <w:rsid w:val="00AA6698"/>
    <w:rsid w:val="00AA6A7E"/>
    <w:rsid w:val="00AA6DB3"/>
    <w:rsid w:val="00AB03BA"/>
    <w:rsid w:val="00AB165C"/>
    <w:rsid w:val="00AB2593"/>
    <w:rsid w:val="00AB25E8"/>
    <w:rsid w:val="00AB2686"/>
    <w:rsid w:val="00AB27A2"/>
    <w:rsid w:val="00AB2DA4"/>
    <w:rsid w:val="00AB3B6D"/>
    <w:rsid w:val="00AB3F63"/>
    <w:rsid w:val="00AB4319"/>
    <w:rsid w:val="00AB49EF"/>
    <w:rsid w:val="00AB4A09"/>
    <w:rsid w:val="00AB4C1D"/>
    <w:rsid w:val="00AB510D"/>
    <w:rsid w:val="00AB567B"/>
    <w:rsid w:val="00AB5EF1"/>
    <w:rsid w:val="00AB5FA2"/>
    <w:rsid w:val="00AB62EF"/>
    <w:rsid w:val="00AB6307"/>
    <w:rsid w:val="00AB687A"/>
    <w:rsid w:val="00AB6980"/>
    <w:rsid w:val="00AB73C9"/>
    <w:rsid w:val="00AB73CE"/>
    <w:rsid w:val="00AB79FB"/>
    <w:rsid w:val="00AB7DD4"/>
    <w:rsid w:val="00AB7F06"/>
    <w:rsid w:val="00AC05F0"/>
    <w:rsid w:val="00AC0BE6"/>
    <w:rsid w:val="00AC10C1"/>
    <w:rsid w:val="00AC1805"/>
    <w:rsid w:val="00AC1A0D"/>
    <w:rsid w:val="00AC2398"/>
    <w:rsid w:val="00AC2BBB"/>
    <w:rsid w:val="00AC31EC"/>
    <w:rsid w:val="00AC45B3"/>
    <w:rsid w:val="00AC4A31"/>
    <w:rsid w:val="00AC65C0"/>
    <w:rsid w:val="00AC6919"/>
    <w:rsid w:val="00AC6CE9"/>
    <w:rsid w:val="00AC6E3F"/>
    <w:rsid w:val="00AC7258"/>
    <w:rsid w:val="00AC73B8"/>
    <w:rsid w:val="00AC7477"/>
    <w:rsid w:val="00AC76F6"/>
    <w:rsid w:val="00AD0234"/>
    <w:rsid w:val="00AD0333"/>
    <w:rsid w:val="00AD10BA"/>
    <w:rsid w:val="00AD2094"/>
    <w:rsid w:val="00AD233E"/>
    <w:rsid w:val="00AD3088"/>
    <w:rsid w:val="00AD309D"/>
    <w:rsid w:val="00AD3F20"/>
    <w:rsid w:val="00AD46ED"/>
    <w:rsid w:val="00AD4D1D"/>
    <w:rsid w:val="00AD4D8B"/>
    <w:rsid w:val="00AD5523"/>
    <w:rsid w:val="00AD55E9"/>
    <w:rsid w:val="00AD595F"/>
    <w:rsid w:val="00AD5BD3"/>
    <w:rsid w:val="00AD5D29"/>
    <w:rsid w:val="00AD609F"/>
    <w:rsid w:val="00AD66AA"/>
    <w:rsid w:val="00AD6773"/>
    <w:rsid w:val="00AD6C97"/>
    <w:rsid w:val="00AD76E2"/>
    <w:rsid w:val="00AD79B0"/>
    <w:rsid w:val="00AD7DA3"/>
    <w:rsid w:val="00AE022A"/>
    <w:rsid w:val="00AE04BF"/>
    <w:rsid w:val="00AE053E"/>
    <w:rsid w:val="00AE0A2C"/>
    <w:rsid w:val="00AE0B18"/>
    <w:rsid w:val="00AE10D3"/>
    <w:rsid w:val="00AE1AD7"/>
    <w:rsid w:val="00AE1D67"/>
    <w:rsid w:val="00AE2011"/>
    <w:rsid w:val="00AE2612"/>
    <w:rsid w:val="00AE2868"/>
    <w:rsid w:val="00AE2960"/>
    <w:rsid w:val="00AE2A4B"/>
    <w:rsid w:val="00AE2B6E"/>
    <w:rsid w:val="00AE2ECB"/>
    <w:rsid w:val="00AE3044"/>
    <w:rsid w:val="00AE30F5"/>
    <w:rsid w:val="00AE3771"/>
    <w:rsid w:val="00AE380B"/>
    <w:rsid w:val="00AE389F"/>
    <w:rsid w:val="00AE4082"/>
    <w:rsid w:val="00AE4A0D"/>
    <w:rsid w:val="00AE4B1F"/>
    <w:rsid w:val="00AE516C"/>
    <w:rsid w:val="00AE52F3"/>
    <w:rsid w:val="00AE5C4C"/>
    <w:rsid w:val="00AE6333"/>
    <w:rsid w:val="00AE6766"/>
    <w:rsid w:val="00AE7320"/>
    <w:rsid w:val="00AE7474"/>
    <w:rsid w:val="00AE7A57"/>
    <w:rsid w:val="00AE7CF0"/>
    <w:rsid w:val="00AF0116"/>
    <w:rsid w:val="00AF016C"/>
    <w:rsid w:val="00AF03C7"/>
    <w:rsid w:val="00AF0730"/>
    <w:rsid w:val="00AF07CA"/>
    <w:rsid w:val="00AF0B9F"/>
    <w:rsid w:val="00AF0C9B"/>
    <w:rsid w:val="00AF1544"/>
    <w:rsid w:val="00AF16CD"/>
    <w:rsid w:val="00AF1C36"/>
    <w:rsid w:val="00AF1CD2"/>
    <w:rsid w:val="00AF20BC"/>
    <w:rsid w:val="00AF226F"/>
    <w:rsid w:val="00AF23E6"/>
    <w:rsid w:val="00AF2E22"/>
    <w:rsid w:val="00AF324D"/>
    <w:rsid w:val="00AF3391"/>
    <w:rsid w:val="00AF356B"/>
    <w:rsid w:val="00AF3718"/>
    <w:rsid w:val="00AF3ED9"/>
    <w:rsid w:val="00AF3F34"/>
    <w:rsid w:val="00AF4D1E"/>
    <w:rsid w:val="00AF4F55"/>
    <w:rsid w:val="00AF5AE2"/>
    <w:rsid w:val="00AF5C33"/>
    <w:rsid w:val="00AF61F2"/>
    <w:rsid w:val="00AF6999"/>
    <w:rsid w:val="00AF71DD"/>
    <w:rsid w:val="00AF737E"/>
    <w:rsid w:val="00AF7529"/>
    <w:rsid w:val="00AF76BA"/>
    <w:rsid w:val="00AF7AB4"/>
    <w:rsid w:val="00AF7DC9"/>
    <w:rsid w:val="00B005EE"/>
    <w:rsid w:val="00B0076F"/>
    <w:rsid w:val="00B00CAA"/>
    <w:rsid w:val="00B01435"/>
    <w:rsid w:val="00B016B9"/>
    <w:rsid w:val="00B0237B"/>
    <w:rsid w:val="00B02649"/>
    <w:rsid w:val="00B026BA"/>
    <w:rsid w:val="00B02CAA"/>
    <w:rsid w:val="00B02FC3"/>
    <w:rsid w:val="00B03946"/>
    <w:rsid w:val="00B0400D"/>
    <w:rsid w:val="00B04B6D"/>
    <w:rsid w:val="00B052A7"/>
    <w:rsid w:val="00B0540A"/>
    <w:rsid w:val="00B05AF5"/>
    <w:rsid w:val="00B06190"/>
    <w:rsid w:val="00B06223"/>
    <w:rsid w:val="00B06345"/>
    <w:rsid w:val="00B066E6"/>
    <w:rsid w:val="00B06977"/>
    <w:rsid w:val="00B10050"/>
    <w:rsid w:val="00B105B8"/>
    <w:rsid w:val="00B10BBD"/>
    <w:rsid w:val="00B1125A"/>
    <w:rsid w:val="00B11890"/>
    <w:rsid w:val="00B118A0"/>
    <w:rsid w:val="00B11A94"/>
    <w:rsid w:val="00B11AC7"/>
    <w:rsid w:val="00B12623"/>
    <w:rsid w:val="00B12E42"/>
    <w:rsid w:val="00B12E4A"/>
    <w:rsid w:val="00B13842"/>
    <w:rsid w:val="00B13DED"/>
    <w:rsid w:val="00B14015"/>
    <w:rsid w:val="00B1412E"/>
    <w:rsid w:val="00B141B3"/>
    <w:rsid w:val="00B147D4"/>
    <w:rsid w:val="00B149D4"/>
    <w:rsid w:val="00B14AE5"/>
    <w:rsid w:val="00B14B40"/>
    <w:rsid w:val="00B14C19"/>
    <w:rsid w:val="00B16621"/>
    <w:rsid w:val="00B16E4D"/>
    <w:rsid w:val="00B17298"/>
    <w:rsid w:val="00B177BB"/>
    <w:rsid w:val="00B17C3D"/>
    <w:rsid w:val="00B17E73"/>
    <w:rsid w:val="00B20464"/>
    <w:rsid w:val="00B2049C"/>
    <w:rsid w:val="00B20FC6"/>
    <w:rsid w:val="00B21940"/>
    <w:rsid w:val="00B21A68"/>
    <w:rsid w:val="00B21AD1"/>
    <w:rsid w:val="00B2225C"/>
    <w:rsid w:val="00B22C33"/>
    <w:rsid w:val="00B2316F"/>
    <w:rsid w:val="00B238DA"/>
    <w:rsid w:val="00B23C77"/>
    <w:rsid w:val="00B242B0"/>
    <w:rsid w:val="00B24392"/>
    <w:rsid w:val="00B24B61"/>
    <w:rsid w:val="00B24E31"/>
    <w:rsid w:val="00B2511B"/>
    <w:rsid w:val="00B25139"/>
    <w:rsid w:val="00B25213"/>
    <w:rsid w:val="00B25396"/>
    <w:rsid w:val="00B25DBF"/>
    <w:rsid w:val="00B25F2C"/>
    <w:rsid w:val="00B27074"/>
    <w:rsid w:val="00B27123"/>
    <w:rsid w:val="00B27129"/>
    <w:rsid w:val="00B2736B"/>
    <w:rsid w:val="00B27519"/>
    <w:rsid w:val="00B27A87"/>
    <w:rsid w:val="00B27C4B"/>
    <w:rsid w:val="00B27ECA"/>
    <w:rsid w:val="00B300D5"/>
    <w:rsid w:val="00B301AA"/>
    <w:rsid w:val="00B307CC"/>
    <w:rsid w:val="00B309F9"/>
    <w:rsid w:val="00B30C17"/>
    <w:rsid w:val="00B30C66"/>
    <w:rsid w:val="00B31416"/>
    <w:rsid w:val="00B31573"/>
    <w:rsid w:val="00B322BC"/>
    <w:rsid w:val="00B324DE"/>
    <w:rsid w:val="00B32CE3"/>
    <w:rsid w:val="00B32DA4"/>
    <w:rsid w:val="00B33090"/>
    <w:rsid w:val="00B338C9"/>
    <w:rsid w:val="00B33E51"/>
    <w:rsid w:val="00B3451C"/>
    <w:rsid w:val="00B34AAC"/>
    <w:rsid w:val="00B34C6A"/>
    <w:rsid w:val="00B34E50"/>
    <w:rsid w:val="00B35000"/>
    <w:rsid w:val="00B359B9"/>
    <w:rsid w:val="00B35D70"/>
    <w:rsid w:val="00B35FEE"/>
    <w:rsid w:val="00B36440"/>
    <w:rsid w:val="00B36593"/>
    <w:rsid w:val="00B36A0C"/>
    <w:rsid w:val="00B36F28"/>
    <w:rsid w:val="00B370FE"/>
    <w:rsid w:val="00B3759E"/>
    <w:rsid w:val="00B378E8"/>
    <w:rsid w:val="00B40838"/>
    <w:rsid w:val="00B40945"/>
    <w:rsid w:val="00B4128F"/>
    <w:rsid w:val="00B417A4"/>
    <w:rsid w:val="00B41EE2"/>
    <w:rsid w:val="00B41F88"/>
    <w:rsid w:val="00B422A9"/>
    <w:rsid w:val="00B42325"/>
    <w:rsid w:val="00B42B5B"/>
    <w:rsid w:val="00B42EE7"/>
    <w:rsid w:val="00B42FFE"/>
    <w:rsid w:val="00B430DC"/>
    <w:rsid w:val="00B43156"/>
    <w:rsid w:val="00B43BAE"/>
    <w:rsid w:val="00B43E61"/>
    <w:rsid w:val="00B44261"/>
    <w:rsid w:val="00B44ACA"/>
    <w:rsid w:val="00B44B37"/>
    <w:rsid w:val="00B44C24"/>
    <w:rsid w:val="00B46165"/>
    <w:rsid w:val="00B46571"/>
    <w:rsid w:val="00B46604"/>
    <w:rsid w:val="00B46A04"/>
    <w:rsid w:val="00B46FC1"/>
    <w:rsid w:val="00B47208"/>
    <w:rsid w:val="00B473A8"/>
    <w:rsid w:val="00B4754A"/>
    <w:rsid w:val="00B478AF"/>
    <w:rsid w:val="00B47984"/>
    <w:rsid w:val="00B47B84"/>
    <w:rsid w:val="00B47DC5"/>
    <w:rsid w:val="00B47F2E"/>
    <w:rsid w:val="00B47F8C"/>
    <w:rsid w:val="00B50436"/>
    <w:rsid w:val="00B50749"/>
    <w:rsid w:val="00B50D24"/>
    <w:rsid w:val="00B513AA"/>
    <w:rsid w:val="00B52516"/>
    <w:rsid w:val="00B526AF"/>
    <w:rsid w:val="00B526D1"/>
    <w:rsid w:val="00B52988"/>
    <w:rsid w:val="00B53FB2"/>
    <w:rsid w:val="00B54412"/>
    <w:rsid w:val="00B5504A"/>
    <w:rsid w:val="00B55277"/>
    <w:rsid w:val="00B553E8"/>
    <w:rsid w:val="00B559B1"/>
    <w:rsid w:val="00B560E3"/>
    <w:rsid w:val="00B56634"/>
    <w:rsid w:val="00B568E0"/>
    <w:rsid w:val="00B56BBB"/>
    <w:rsid w:val="00B57347"/>
    <w:rsid w:val="00B57519"/>
    <w:rsid w:val="00B57724"/>
    <w:rsid w:val="00B577EA"/>
    <w:rsid w:val="00B60029"/>
    <w:rsid w:val="00B60A68"/>
    <w:rsid w:val="00B60D35"/>
    <w:rsid w:val="00B60D4F"/>
    <w:rsid w:val="00B60DAE"/>
    <w:rsid w:val="00B610CF"/>
    <w:rsid w:val="00B613A8"/>
    <w:rsid w:val="00B613DC"/>
    <w:rsid w:val="00B61745"/>
    <w:rsid w:val="00B61DE0"/>
    <w:rsid w:val="00B620A8"/>
    <w:rsid w:val="00B620B2"/>
    <w:rsid w:val="00B62137"/>
    <w:rsid w:val="00B63126"/>
    <w:rsid w:val="00B63CAE"/>
    <w:rsid w:val="00B64BD6"/>
    <w:rsid w:val="00B64D5F"/>
    <w:rsid w:val="00B64FC5"/>
    <w:rsid w:val="00B657F7"/>
    <w:rsid w:val="00B65BD3"/>
    <w:rsid w:val="00B6641B"/>
    <w:rsid w:val="00B66F02"/>
    <w:rsid w:val="00B66F09"/>
    <w:rsid w:val="00B67C17"/>
    <w:rsid w:val="00B67E87"/>
    <w:rsid w:val="00B70037"/>
    <w:rsid w:val="00B703B8"/>
    <w:rsid w:val="00B70489"/>
    <w:rsid w:val="00B70971"/>
    <w:rsid w:val="00B70A27"/>
    <w:rsid w:val="00B70A33"/>
    <w:rsid w:val="00B712DC"/>
    <w:rsid w:val="00B71836"/>
    <w:rsid w:val="00B71E52"/>
    <w:rsid w:val="00B7237C"/>
    <w:rsid w:val="00B72E14"/>
    <w:rsid w:val="00B72E28"/>
    <w:rsid w:val="00B73255"/>
    <w:rsid w:val="00B73CC2"/>
    <w:rsid w:val="00B749BA"/>
    <w:rsid w:val="00B74B52"/>
    <w:rsid w:val="00B74DD9"/>
    <w:rsid w:val="00B74E85"/>
    <w:rsid w:val="00B7593A"/>
    <w:rsid w:val="00B75A2F"/>
    <w:rsid w:val="00B75C33"/>
    <w:rsid w:val="00B75EAC"/>
    <w:rsid w:val="00B76A15"/>
    <w:rsid w:val="00B76FCD"/>
    <w:rsid w:val="00B7746B"/>
    <w:rsid w:val="00B7759C"/>
    <w:rsid w:val="00B775B9"/>
    <w:rsid w:val="00B77BCB"/>
    <w:rsid w:val="00B80162"/>
    <w:rsid w:val="00B80489"/>
    <w:rsid w:val="00B809EB"/>
    <w:rsid w:val="00B81293"/>
    <w:rsid w:val="00B814F7"/>
    <w:rsid w:val="00B8207E"/>
    <w:rsid w:val="00B82541"/>
    <w:rsid w:val="00B832BA"/>
    <w:rsid w:val="00B84443"/>
    <w:rsid w:val="00B85003"/>
    <w:rsid w:val="00B85855"/>
    <w:rsid w:val="00B859B8"/>
    <w:rsid w:val="00B861CA"/>
    <w:rsid w:val="00B86913"/>
    <w:rsid w:val="00B86CA6"/>
    <w:rsid w:val="00B878D3"/>
    <w:rsid w:val="00B87ADA"/>
    <w:rsid w:val="00B87FB6"/>
    <w:rsid w:val="00B901C1"/>
    <w:rsid w:val="00B90B49"/>
    <w:rsid w:val="00B90DA1"/>
    <w:rsid w:val="00B910B7"/>
    <w:rsid w:val="00B910DD"/>
    <w:rsid w:val="00B9162D"/>
    <w:rsid w:val="00B919D1"/>
    <w:rsid w:val="00B922CA"/>
    <w:rsid w:val="00B92665"/>
    <w:rsid w:val="00B928E2"/>
    <w:rsid w:val="00B9299F"/>
    <w:rsid w:val="00B93D3B"/>
    <w:rsid w:val="00B93E28"/>
    <w:rsid w:val="00B94012"/>
    <w:rsid w:val="00B95846"/>
    <w:rsid w:val="00B95ADA"/>
    <w:rsid w:val="00B960A7"/>
    <w:rsid w:val="00B96209"/>
    <w:rsid w:val="00B963D7"/>
    <w:rsid w:val="00B9695D"/>
    <w:rsid w:val="00B96C57"/>
    <w:rsid w:val="00B973F4"/>
    <w:rsid w:val="00B97E68"/>
    <w:rsid w:val="00BA05B6"/>
    <w:rsid w:val="00BA12B6"/>
    <w:rsid w:val="00BA1332"/>
    <w:rsid w:val="00BA1679"/>
    <w:rsid w:val="00BA1ECA"/>
    <w:rsid w:val="00BA1F9B"/>
    <w:rsid w:val="00BA20D9"/>
    <w:rsid w:val="00BA232E"/>
    <w:rsid w:val="00BA2694"/>
    <w:rsid w:val="00BA27CE"/>
    <w:rsid w:val="00BA3021"/>
    <w:rsid w:val="00BA317F"/>
    <w:rsid w:val="00BA3DC7"/>
    <w:rsid w:val="00BA3EFD"/>
    <w:rsid w:val="00BA3F96"/>
    <w:rsid w:val="00BA4148"/>
    <w:rsid w:val="00BA45DE"/>
    <w:rsid w:val="00BA4863"/>
    <w:rsid w:val="00BA497E"/>
    <w:rsid w:val="00BA4E5B"/>
    <w:rsid w:val="00BA501E"/>
    <w:rsid w:val="00BA50C1"/>
    <w:rsid w:val="00BA53B9"/>
    <w:rsid w:val="00BA5B5F"/>
    <w:rsid w:val="00BA69C8"/>
    <w:rsid w:val="00BA6F7C"/>
    <w:rsid w:val="00BA74FA"/>
    <w:rsid w:val="00BA7B6A"/>
    <w:rsid w:val="00BB0315"/>
    <w:rsid w:val="00BB03A3"/>
    <w:rsid w:val="00BB06B4"/>
    <w:rsid w:val="00BB06BC"/>
    <w:rsid w:val="00BB0992"/>
    <w:rsid w:val="00BB0BB0"/>
    <w:rsid w:val="00BB0CB7"/>
    <w:rsid w:val="00BB0DD5"/>
    <w:rsid w:val="00BB1111"/>
    <w:rsid w:val="00BB190A"/>
    <w:rsid w:val="00BB26F8"/>
    <w:rsid w:val="00BB2852"/>
    <w:rsid w:val="00BB3D4C"/>
    <w:rsid w:val="00BB3ED4"/>
    <w:rsid w:val="00BB480C"/>
    <w:rsid w:val="00BB49A6"/>
    <w:rsid w:val="00BB4A16"/>
    <w:rsid w:val="00BB4C2D"/>
    <w:rsid w:val="00BB4E51"/>
    <w:rsid w:val="00BB58CF"/>
    <w:rsid w:val="00BB6171"/>
    <w:rsid w:val="00BB62A2"/>
    <w:rsid w:val="00BB6744"/>
    <w:rsid w:val="00BB686E"/>
    <w:rsid w:val="00BB6FCA"/>
    <w:rsid w:val="00BB7148"/>
    <w:rsid w:val="00BB76EE"/>
    <w:rsid w:val="00BC03D0"/>
    <w:rsid w:val="00BC0510"/>
    <w:rsid w:val="00BC07A3"/>
    <w:rsid w:val="00BC0C6E"/>
    <w:rsid w:val="00BC0E58"/>
    <w:rsid w:val="00BC1094"/>
    <w:rsid w:val="00BC117D"/>
    <w:rsid w:val="00BC152D"/>
    <w:rsid w:val="00BC16C4"/>
    <w:rsid w:val="00BC1BC0"/>
    <w:rsid w:val="00BC1E19"/>
    <w:rsid w:val="00BC2E59"/>
    <w:rsid w:val="00BC2F7D"/>
    <w:rsid w:val="00BC3741"/>
    <w:rsid w:val="00BC43D3"/>
    <w:rsid w:val="00BC4824"/>
    <w:rsid w:val="00BC4D9B"/>
    <w:rsid w:val="00BC5272"/>
    <w:rsid w:val="00BC5348"/>
    <w:rsid w:val="00BC636B"/>
    <w:rsid w:val="00BC63E7"/>
    <w:rsid w:val="00BC6773"/>
    <w:rsid w:val="00BC6AFD"/>
    <w:rsid w:val="00BC6BC2"/>
    <w:rsid w:val="00BC6F54"/>
    <w:rsid w:val="00BC791A"/>
    <w:rsid w:val="00BC7C98"/>
    <w:rsid w:val="00BC7DB6"/>
    <w:rsid w:val="00BD01CC"/>
    <w:rsid w:val="00BD1742"/>
    <w:rsid w:val="00BD2678"/>
    <w:rsid w:val="00BD2DDE"/>
    <w:rsid w:val="00BD2E43"/>
    <w:rsid w:val="00BD2F27"/>
    <w:rsid w:val="00BD39E1"/>
    <w:rsid w:val="00BD3DF8"/>
    <w:rsid w:val="00BD40AC"/>
    <w:rsid w:val="00BD4208"/>
    <w:rsid w:val="00BD454E"/>
    <w:rsid w:val="00BD4ED9"/>
    <w:rsid w:val="00BD51BF"/>
    <w:rsid w:val="00BD5604"/>
    <w:rsid w:val="00BD63C4"/>
    <w:rsid w:val="00BE01C9"/>
    <w:rsid w:val="00BE0600"/>
    <w:rsid w:val="00BE0EC9"/>
    <w:rsid w:val="00BE1012"/>
    <w:rsid w:val="00BE12AF"/>
    <w:rsid w:val="00BE1543"/>
    <w:rsid w:val="00BE155F"/>
    <w:rsid w:val="00BE1D8E"/>
    <w:rsid w:val="00BE1FB7"/>
    <w:rsid w:val="00BE24CC"/>
    <w:rsid w:val="00BE2AF6"/>
    <w:rsid w:val="00BE2D2E"/>
    <w:rsid w:val="00BE3463"/>
    <w:rsid w:val="00BE3763"/>
    <w:rsid w:val="00BE3953"/>
    <w:rsid w:val="00BE3A48"/>
    <w:rsid w:val="00BE43BE"/>
    <w:rsid w:val="00BE480C"/>
    <w:rsid w:val="00BE4A63"/>
    <w:rsid w:val="00BE4D86"/>
    <w:rsid w:val="00BE5244"/>
    <w:rsid w:val="00BE5487"/>
    <w:rsid w:val="00BE68CD"/>
    <w:rsid w:val="00BE6BEF"/>
    <w:rsid w:val="00BE714E"/>
    <w:rsid w:val="00BE76FD"/>
    <w:rsid w:val="00BE77C3"/>
    <w:rsid w:val="00BF026C"/>
    <w:rsid w:val="00BF070B"/>
    <w:rsid w:val="00BF079C"/>
    <w:rsid w:val="00BF0A0D"/>
    <w:rsid w:val="00BF0A23"/>
    <w:rsid w:val="00BF0A4A"/>
    <w:rsid w:val="00BF10F5"/>
    <w:rsid w:val="00BF13E7"/>
    <w:rsid w:val="00BF1F33"/>
    <w:rsid w:val="00BF2124"/>
    <w:rsid w:val="00BF2372"/>
    <w:rsid w:val="00BF281E"/>
    <w:rsid w:val="00BF2938"/>
    <w:rsid w:val="00BF362D"/>
    <w:rsid w:val="00BF3E49"/>
    <w:rsid w:val="00BF4801"/>
    <w:rsid w:val="00BF4991"/>
    <w:rsid w:val="00BF4ABF"/>
    <w:rsid w:val="00BF4C00"/>
    <w:rsid w:val="00BF5749"/>
    <w:rsid w:val="00BF5C94"/>
    <w:rsid w:val="00BF68F5"/>
    <w:rsid w:val="00BF6A3A"/>
    <w:rsid w:val="00BF6C36"/>
    <w:rsid w:val="00BF70AF"/>
    <w:rsid w:val="00C000A9"/>
    <w:rsid w:val="00C00739"/>
    <w:rsid w:val="00C01077"/>
    <w:rsid w:val="00C016F5"/>
    <w:rsid w:val="00C01E97"/>
    <w:rsid w:val="00C01EFE"/>
    <w:rsid w:val="00C02145"/>
    <w:rsid w:val="00C0240F"/>
    <w:rsid w:val="00C0289E"/>
    <w:rsid w:val="00C0321E"/>
    <w:rsid w:val="00C035D7"/>
    <w:rsid w:val="00C03623"/>
    <w:rsid w:val="00C038F5"/>
    <w:rsid w:val="00C04251"/>
    <w:rsid w:val="00C042B8"/>
    <w:rsid w:val="00C04440"/>
    <w:rsid w:val="00C05738"/>
    <w:rsid w:val="00C05780"/>
    <w:rsid w:val="00C05A25"/>
    <w:rsid w:val="00C05BC1"/>
    <w:rsid w:val="00C0640A"/>
    <w:rsid w:val="00C06803"/>
    <w:rsid w:val="00C06D50"/>
    <w:rsid w:val="00C06ECA"/>
    <w:rsid w:val="00C06F96"/>
    <w:rsid w:val="00C06FB2"/>
    <w:rsid w:val="00C077C5"/>
    <w:rsid w:val="00C07930"/>
    <w:rsid w:val="00C079B5"/>
    <w:rsid w:val="00C07B44"/>
    <w:rsid w:val="00C07EF8"/>
    <w:rsid w:val="00C1019F"/>
    <w:rsid w:val="00C10B71"/>
    <w:rsid w:val="00C10CE4"/>
    <w:rsid w:val="00C10DA7"/>
    <w:rsid w:val="00C10EB8"/>
    <w:rsid w:val="00C11200"/>
    <w:rsid w:val="00C11311"/>
    <w:rsid w:val="00C138FA"/>
    <w:rsid w:val="00C13E18"/>
    <w:rsid w:val="00C14773"/>
    <w:rsid w:val="00C15250"/>
    <w:rsid w:val="00C154DA"/>
    <w:rsid w:val="00C15757"/>
    <w:rsid w:val="00C15949"/>
    <w:rsid w:val="00C16167"/>
    <w:rsid w:val="00C16D50"/>
    <w:rsid w:val="00C20336"/>
    <w:rsid w:val="00C2099F"/>
    <w:rsid w:val="00C20B03"/>
    <w:rsid w:val="00C212F8"/>
    <w:rsid w:val="00C218CA"/>
    <w:rsid w:val="00C21E52"/>
    <w:rsid w:val="00C22614"/>
    <w:rsid w:val="00C2285B"/>
    <w:rsid w:val="00C232D9"/>
    <w:rsid w:val="00C235DB"/>
    <w:rsid w:val="00C23AAF"/>
    <w:rsid w:val="00C246A3"/>
    <w:rsid w:val="00C250B3"/>
    <w:rsid w:val="00C25109"/>
    <w:rsid w:val="00C259DD"/>
    <w:rsid w:val="00C25EE2"/>
    <w:rsid w:val="00C25FB3"/>
    <w:rsid w:val="00C26516"/>
    <w:rsid w:val="00C26C16"/>
    <w:rsid w:val="00C26FB4"/>
    <w:rsid w:val="00C27272"/>
    <w:rsid w:val="00C2738C"/>
    <w:rsid w:val="00C277D2"/>
    <w:rsid w:val="00C27D96"/>
    <w:rsid w:val="00C3021F"/>
    <w:rsid w:val="00C30CD1"/>
    <w:rsid w:val="00C319CC"/>
    <w:rsid w:val="00C31F50"/>
    <w:rsid w:val="00C322FF"/>
    <w:rsid w:val="00C3291F"/>
    <w:rsid w:val="00C3295D"/>
    <w:rsid w:val="00C32C68"/>
    <w:rsid w:val="00C334BC"/>
    <w:rsid w:val="00C33701"/>
    <w:rsid w:val="00C33A66"/>
    <w:rsid w:val="00C33BB5"/>
    <w:rsid w:val="00C33DD8"/>
    <w:rsid w:val="00C3479A"/>
    <w:rsid w:val="00C34AEF"/>
    <w:rsid w:val="00C34B8A"/>
    <w:rsid w:val="00C34FEF"/>
    <w:rsid w:val="00C3556B"/>
    <w:rsid w:val="00C35D06"/>
    <w:rsid w:val="00C36AC7"/>
    <w:rsid w:val="00C36D0A"/>
    <w:rsid w:val="00C37DCF"/>
    <w:rsid w:val="00C40E8E"/>
    <w:rsid w:val="00C413EF"/>
    <w:rsid w:val="00C4165A"/>
    <w:rsid w:val="00C417C0"/>
    <w:rsid w:val="00C42094"/>
    <w:rsid w:val="00C42562"/>
    <w:rsid w:val="00C42E92"/>
    <w:rsid w:val="00C4310C"/>
    <w:rsid w:val="00C43741"/>
    <w:rsid w:val="00C44608"/>
    <w:rsid w:val="00C44DB1"/>
    <w:rsid w:val="00C44F2A"/>
    <w:rsid w:val="00C45816"/>
    <w:rsid w:val="00C45B92"/>
    <w:rsid w:val="00C46474"/>
    <w:rsid w:val="00C465F1"/>
    <w:rsid w:val="00C468D0"/>
    <w:rsid w:val="00C46CE2"/>
    <w:rsid w:val="00C46F24"/>
    <w:rsid w:val="00C477B6"/>
    <w:rsid w:val="00C4780D"/>
    <w:rsid w:val="00C47F1A"/>
    <w:rsid w:val="00C47FB2"/>
    <w:rsid w:val="00C510D0"/>
    <w:rsid w:val="00C515C9"/>
    <w:rsid w:val="00C5253F"/>
    <w:rsid w:val="00C525F6"/>
    <w:rsid w:val="00C5394D"/>
    <w:rsid w:val="00C53E36"/>
    <w:rsid w:val="00C54A08"/>
    <w:rsid w:val="00C556CD"/>
    <w:rsid w:val="00C5593E"/>
    <w:rsid w:val="00C55CEC"/>
    <w:rsid w:val="00C564E5"/>
    <w:rsid w:val="00C571B4"/>
    <w:rsid w:val="00C5728D"/>
    <w:rsid w:val="00C57392"/>
    <w:rsid w:val="00C57E8B"/>
    <w:rsid w:val="00C601B9"/>
    <w:rsid w:val="00C605FC"/>
    <w:rsid w:val="00C620E4"/>
    <w:rsid w:val="00C621DB"/>
    <w:rsid w:val="00C623D2"/>
    <w:rsid w:val="00C62934"/>
    <w:rsid w:val="00C62E81"/>
    <w:rsid w:val="00C63130"/>
    <w:rsid w:val="00C63BC7"/>
    <w:rsid w:val="00C63F66"/>
    <w:rsid w:val="00C63FCF"/>
    <w:rsid w:val="00C64089"/>
    <w:rsid w:val="00C64F40"/>
    <w:rsid w:val="00C6527A"/>
    <w:rsid w:val="00C65D76"/>
    <w:rsid w:val="00C66639"/>
    <w:rsid w:val="00C6707B"/>
    <w:rsid w:val="00C67662"/>
    <w:rsid w:val="00C6786F"/>
    <w:rsid w:val="00C67A97"/>
    <w:rsid w:val="00C70511"/>
    <w:rsid w:val="00C705A1"/>
    <w:rsid w:val="00C71AF6"/>
    <w:rsid w:val="00C730EB"/>
    <w:rsid w:val="00C7371C"/>
    <w:rsid w:val="00C749EA"/>
    <w:rsid w:val="00C74E9B"/>
    <w:rsid w:val="00C76141"/>
    <w:rsid w:val="00C76574"/>
    <w:rsid w:val="00C76B4D"/>
    <w:rsid w:val="00C770D4"/>
    <w:rsid w:val="00C77581"/>
    <w:rsid w:val="00C8030F"/>
    <w:rsid w:val="00C80444"/>
    <w:rsid w:val="00C80927"/>
    <w:rsid w:val="00C80D1F"/>
    <w:rsid w:val="00C81655"/>
    <w:rsid w:val="00C818FA"/>
    <w:rsid w:val="00C81FC2"/>
    <w:rsid w:val="00C82605"/>
    <w:rsid w:val="00C831ED"/>
    <w:rsid w:val="00C8325E"/>
    <w:rsid w:val="00C834DE"/>
    <w:rsid w:val="00C839EB"/>
    <w:rsid w:val="00C83A55"/>
    <w:rsid w:val="00C83FFD"/>
    <w:rsid w:val="00C8439C"/>
    <w:rsid w:val="00C84681"/>
    <w:rsid w:val="00C84728"/>
    <w:rsid w:val="00C849FC"/>
    <w:rsid w:val="00C8518D"/>
    <w:rsid w:val="00C85906"/>
    <w:rsid w:val="00C85C73"/>
    <w:rsid w:val="00C86218"/>
    <w:rsid w:val="00C86CD7"/>
    <w:rsid w:val="00C871E2"/>
    <w:rsid w:val="00C873A2"/>
    <w:rsid w:val="00C876DF"/>
    <w:rsid w:val="00C8779D"/>
    <w:rsid w:val="00C87DCD"/>
    <w:rsid w:val="00C904DC"/>
    <w:rsid w:val="00C907D7"/>
    <w:rsid w:val="00C90B1B"/>
    <w:rsid w:val="00C90D6D"/>
    <w:rsid w:val="00C912DF"/>
    <w:rsid w:val="00C9137F"/>
    <w:rsid w:val="00C9146C"/>
    <w:rsid w:val="00C916DE"/>
    <w:rsid w:val="00C91833"/>
    <w:rsid w:val="00C9200F"/>
    <w:rsid w:val="00C92D69"/>
    <w:rsid w:val="00C92F6A"/>
    <w:rsid w:val="00C92FE2"/>
    <w:rsid w:val="00C93992"/>
    <w:rsid w:val="00C941E3"/>
    <w:rsid w:val="00C9472C"/>
    <w:rsid w:val="00C94980"/>
    <w:rsid w:val="00C94F98"/>
    <w:rsid w:val="00C95137"/>
    <w:rsid w:val="00C95208"/>
    <w:rsid w:val="00C952AE"/>
    <w:rsid w:val="00C95640"/>
    <w:rsid w:val="00C95865"/>
    <w:rsid w:val="00C95E7D"/>
    <w:rsid w:val="00C9694F"/>
    <w:rsid w:val="00C969EE"/>
    <w:rsid w:val="00C96AB3"/>
    <w:rsid w:val="00C96B16"/>
    <w:rsid w:val="00C9782B"/>
    <w:rsid w:val="00C97E6D"/>
    <w:rsid w:val="00C97FE9"/>
    <w:rsid w:val="00CA0012"/>
    <w:rsid w:val="00CA015E"/>
    <w:rsid w:val="00CA0161"/>
    <w:rsid w:val="00CA03AC"/>
    <w:rsid w:val="00CA0772"/>
    <w:rsid w:val="00CA13B0"/>
    <w:rsid w:val="00CA141B"/>
    <w:rsid w:val="00CA1673"/>
    <w:rsid w:val="00CA19E5"/>
    <w:rsid w:val="00CA1B87"/>
    <w:rsid w:val="00CA1EB3"/>
    <w:rsid w:val="00CA22E0"/>
    <w:rsid w:val="00CA2986"/>
    <w:rsid w:val="00CA298C"/>
    <w:rsid w:val="00CA2E5E"/>
    <w:rsid w:val="00CA4A9E"/>
    <w:rsid w:val="00CA4CC7"/>
    <w:rsid w:val="00CA4FD0"/>
    <w:rsid w:val="00CA4FE5"/>
    <w:rsid w:val="00CA5771"/>
    <w:rsid w:val="00CA5FBE"/>
    <w:rsid w:val="00CA6104"/>
    <w:rsid w:val="00CA68A7"/>
    <w:rsid w:val="00CA7460"/>
    <w:rsid w:val="00CA7B36"/>
    <w:rsid w:val="00CA7E4E"/>
    <w:rsid w:val="00CB0370"/>
    <w:rsid w:val="00CB071F"/>
    <w:rsid w:val="00CB14BA"/>
    <w:rsid w:val="00CB15FE"/>
    <w:rsid w:val="00CB17A7"/>
    <w:rsid w:val="00CB1E18"/>
    <w:rsid w:val="00CB2356"/>
    <w:rsid w:val="00CB2725"/>
    <w:rsid w:val="00CB2ACE"/>
    <w:rsid w:val="00CB3535"/>
    <w:rsid w:val="00CB392B"/>
    <w:rsid w:val="00CB3959"/>
    <w:rsid w:val="00CB3BF2"/>
    <w:rsid w:val="00CB4218"/>
    <w:rsid w:val="00CB4327"/>
    <w:rsid w:val="00CB4913"/>
    <w:rsid w:val="00CB4F27"/>
    <w:rsid w:val="00CB55D6"/>
    <w:rsid w:val="00CB5B0F"/>
    <w:rsid w:val="00CB5B9D"/>
    <w:rsid w:val="00CB65DA"/>
    <w:rsid w:val="00CB6EA5"/>
    <w:rsid w:val="00CB74C9"/>
    <w:rsid w:val="00CB7FA5"/>
    <w:rsid w:val="00CC0868"/>
    <w:rsid w:val="00CC0D7B"/>
    <w:rsid w:val="00CC111D"/>
    <w:rsid w:val="00CC12A6"/>
    <w:rsid w:val="00CC168D"/>
    <w:rsid w:val="00CC1DED"/>
    <w:rsid w:val="00CC1FC8"/>
    <w:rsid w:val="00CC245B"/>
    <w:rsid w:val="00CC25BC"/>
    <w:rsid w:val="00CC290B"/>
    <w:rsid w:val="00CC2B61"/>
    <w:rsid w:val="00CC2F24"/>
    <w:rsid w:val="00CC301F"/>
    <w:rsid w:val="00CC32ED"/>
    <w:rsid w:val="00CC337A"/>
    <w:rsid w:val="00CC3604"/>
    <w:rsid w:val="00CC38D0"/>
    <w:rsid w:val="00CC3C5A"/>
    <w:rsid w:val="00CC3D4E"/>
    <w:rsid w:val="00CC3FDD"/>
    <w:rsid w:val="00CC4211"/>
    <w:rsid w:val="00CC44DE"/>
    <w:rsid w:val="00CC4517"/>
    <w:rsid w:val="00CC4968"/>
    <w:rsid w:val="00CC5481"/>
    <w:rsid w:val="00CC6AF1"/>
    <w:rsid w:val="00CC6F90"/>
    <w:rsid w:val="00CC77DA"/>
    <w:rsid w:val="00CC77DB"/>
    <w:rsid w:val="00CC7D2B"/>
    <w:rsid w:val="00CD0676"/>
    <w:rsid w:val="00CD0844"/>
    <w:rsid w:val="00CD08AA"/>
    <w:rsid w:val="00CD09EE"/>
    <w:rsid w:val="00CD0F04"/>
    <w:rsid w:val="00CD16AB"/>
    <w:rsid w:val="00CD1835"/>
    <w:rsid w:val="00CD1CC5"/>
    <w:rsid w:val="00CD2C31"/>
    <w:rsid w:val="00CD2F73"/>
    <w:rsid w:val="00CD3106"/>
    <w:rsid w:val="00CD35C0"/>
    <w:rsid w:val="00CD382D"/>
    <w:rsid w:val="00CD3CE9"/>
    <w:rsid w:val="00CD3EF6"/>
    <w:rsid w:val="00CD4124"/>
    <w:rsid w:val="00CD52D5"/>
    <w:rsid w:val="00CD53E6"/>
    <w:rsid w:val="00CD5A95"/>
    <w:rsid w:val="00CD5E2C"/>
    <w:rsid w:val="00CD669D"/>
    <w:rsid w:val="00CD6C1F"/>
    <w:rsid w:val="00CD7262"/>
    <w:rsid w:val="00CD744D"/>
    <w:rsid w:val="00CD75DE"/>
    <w:rsid w:val="00CD7623"/>
    <w:rsid w:val="00CD7F2A"/>
    <w:rsid w:val="00CE081E"/>
    <w:rsid w:val="00CE0A32"/>
    <w:rsid w:val="00CE1434"/>
    <w:rsid w:val="00CE18B3"/>
    <w:rsid w:val="00CE1F36"/>
    <w:rsid w:val="00CE30F4"/>
    <w:rsid w:val="00CE31B2"/>
    <w:rsid w:val="00CE337A"/>
    <w:rsid w:val="00CE3772"/>
    <w:rsid w:val="00CE3CA4"/>
    <w:rsid w:val="00CE3E4B"/>
    <w:rsid w:val="00CE4401"/>
    <w:rsid w:val="00CE49B0"/>
    <w:rsid w:val="00CE4F4E"/>
    <w:rsid w:val="00CE519E"/>
    <w:rsid w:val="00CE56EF"/>
    <w:rsid w:val="00CE60C6"/>
    <w:rsid w:val="00CE619C"/>
    <w:rsid w:val="00CE6FDA"/>
    <w:rsid w:val="00CE738F"/>
    <w:rsid w:val="00CE73A4"/>
    <w:rsid w:val="00CE7403"/>
    <w:rsid w:val="00CE74DE"/>
    <w:rsid w:val="00CE75AF"/>
    <w:rsid w:val="00CE7F2E"/>
    <w:rsid w:val="00CF00AB"/>
    <w:rsid w:val="00CF0427"/>
    <w:rsid w:val="00CF0455"/>
    <w:rsid w:val="00CF075D"/>
    <w:rsid w:val="00CF0ADB"/>
    <w:rsid w:val="00CF0B6E"/>
    <w:rsid w:val="00CF1396"/>
    <w:rsid w:val="00CF1414"/>
    <w:rsid w:val="00CF1DE8"/>
    <w:rsid w:val="00CF2111"/>
    <w:rsid w:val="00CF233C"/>
    <w:rsid w:val="00CF2771"/>
    <w:rsid w:val="00CF2869"/>
    <w:rsid w:val="00CF2BE7"/>
    <w:rsid w:val="00CF2C5E"/>
    <w:rsid w:val="00CF2F07"/>
    <w:rsid w:val="00CF31F0"/>
    <w:rsid w:val="00CF3382"/>
    <w:rsid w:val="00CF36F6"/>
    <w:rsid w:val="00CF3B6F"/>
    <w:rsid w:val="00CF3C46"/>
    <w:rsid w:val="00CF3EA3"/>
    <w:rsid w:val="00CF428E"/>
    <w:rsid w:val="00CF4916"/>
    <w:rsid w:val="00CF4F68"/>
    <w:rsid w:val="00CF5430"/>
    <w:rsid w:val="00CF5999"/>
    <w:rsid w:val="00CF5D2F"/>
    <w:rsid w:val="00CF5F76"/>
    <w:rsid w:val="00CF662D"/>
    <w:rsid w:val="00CF68BE"/>
    <w:rsid w:val="00CF696A"/>
    <w:rsid w:val="00CF703E"/>
    <w:rsid w:val="00CF7503"/>
    <w:rsid w:val="00CF773A"/>
    <w:rsid w:val="00CF7C15"/>
    <w:rsid w:val="00D00017"/>
    <w:rsid w:val="00D00718"/>
    <w:rsid w:val="00D0077E"/>
    <w:rsid w:val="00D0078A"/>
    <w:rsid w:val="00D00E67"/>
    <w:rsid w:val="00D0184A"/>
    <w:rsid w:val="00D0184E"/>
    <w:rsid w:val="00D01D83"/>
    <w:rsid w:val="00D01DD6"/>
    <w:rsid w:val="00D01E7D"/>
    <w:rsid w:val="00D02342"/>
    <w:rsid w:val="00D02969"/>
    <w:rsid w:val="00D0297C"/>
    <w:rsid w:val="00D02C72"/>
    <w:rsid w:val="00D030DA"/>
    <w:rsid w:val="00D0381E"/>
    <w:rsid w:val="00D038B0"/>
    <w:rsid w:val="00D039DB"/>
    <w:rsid w:val="00D041E2"/>
    <w:rsid w:val="00D04381"/>
    <w:rsid w:val="00D0484D"/>
    <w:rsid w:val="00D04FBF"/>
    <w:rsid w:val="00D0607E"/>
    <w:rsid w:val="00D061D9"/>
    <w:rsid w:val="00D0620E"/>
    <w:rsid w:val="00D06418"/>
    <w:rsid w:val="00D06965"/>
    <w:rsid w:val="00D07376"/>
    <w:rsid w:val="00D079EF"/>
    <w:rsid w:val="00D07AC2"/>
    <w:rsid w:val="00D07E95"/>
    <w:rsid w:val="00D103EC"/>
    <w:rsid w:val="00D10657"/>
    <w:rsid w:val="00D10DB4"/>
    <w:rsid w:val="00D10F3C"/>
    <w:rsid w:val="00D11167"/>
    <w:rsid w:val="00D11B24"/>
    <w:rsid w:val="00D11B37"/>
    <w:rsid w:val="00D11B8B"/>
    <w:rsid w:val="00D11C7E"/>
    <w:rsid w:val="00D1212C"/>
    <w:rsid w:val="00D1264E"/>
    <w:rsid w:val="00D14004"/>
    <w:rsid w:val="00D147ED"/>
    <w:rsid w:val="00D14CA6"/>
    <w:rsid w:val="00D154C3"/>
    <w:rsid w:val="00D15BB9"/>
    <w:rsid w:val="00D15F8B"/>
    <w:rsid w:val="00D16514"/>
    <w:rsid w:val="00D16A65"/>
    <w:rsid w:val="00D16CE7"/>
    <w:rsid w:val="00D16D0A"/>
    <w:rsid w:val="00D16DF3"/>
    <w:rsid w:val="00D16FF7"/>
    <w:rsid w:val="00D175BD"/>
    <w:rsid w:val="00D17670"/>
    <w:rsid w:val="00D17851"/>
    <w:rsid w:val="00D17DEF"/>
    <w:rsid w:val="00D20100"/>
    <w:rsid w:val="00D20186"/>
    <w:rsid w:val="00D208F8"/>
    <w:rsid w:val="00D20A90"/>
    <w:rsid w:val="00D20D7F"/>
    <w:rsid w:val="00D217E0"/>
    <w:rsid w:val="00D228AE"/>
    <w:rsid w:val="00D23386"/>
    <w:rsid w:val="00D2354E"/>
    <w:rsid w:val="00D24924"/>
    <w:rsid w:val="00D24CE5"/>
    <w:rsid w:val="00D25420"/>
    <w:rsid w:val="00D267D3"/>
    <w:rsid w:val="00D270A4"/>
    <w:rsid w:val="00D2727C"/>
    <w:rsid w:val="00D27A90"/>
    <w:rsid w:val="00D30288"/>
    <w:rsid w:val="00D30DAD"/>
    <w:rsid w:val="00D324A1"/>
    <w:rsid w:val="00D325D5"/>
    <w:rsid w:val="00D327E3"/>
    <w:rsid w:val="00D32A9B"/>
    <w:rsid w:val="00D32E3D"/>
    <w:rsid w:val="00D32FED"/>
    <w:rsid w:val="00D33743"/>
    <w:rsid w:val="00D33EAB"/>
    <w:rsid w:val="00D3479D"/>
    <w:rsid w:val="00D3485E"/>
    <w:rsid w:val="00D35491"/>
    <w:rsid w:val="00D35919"/>
    <w:rsid w:val="00D35F1B"/>
    <w:rsid w:val="00D37781"/>
    <w:rsid w:val="00D40318"/>
    <w:rsid w:val="00D409B7"/>
    <w:rsid w:val="00D4116E"/>
    <w:rsid w:val="00D414A2"/>
    <w:rsid w:val="00D4196F"/>
    <w:rsid w:val="00D41A1D"/>
    <w:rsid w:val="00D41AD0"/>
    <w:rsid w:val="00D4219C"/>
    <w:rsid w:val="00D42873"/>
    <w:rsid w:val="00D429EB"/>
    <w:rsid w:val="00D42F8B"/>
    <w:rsid w:val="00D4302C"/>
    <w:rsid w:val="00D43582"/>
    <w:rsid w:val="00D435B8"/>
    <w:rsid w:val="00D4379A"/>
    <w:rsid w:val="00D43861"/>
    <w:rsid w:val="00D43E9F"/>
    <w:rsid w:val="00D442B5"/>
    <w:rsid w:val="00D448B3"/>
    <w:rsid w:val="00D456BF"/>
    <w:rsid w:val="00D45844"/>
    <w:rsid w:val="00D45A76"/>
    <w:rsid w:val="00D45B4B"/>
    <w:rsid w:val="00D45C98"/>
    <w:rsid w:val="00D4606D"/>
    <w:rsid w:val="00D4689F"/>
    <w:rsid w:val="00D46D6E"/>
    <w:rsid w:val="00D46E1C"/>
    <w:rsid w:val="00D46F57"/>
    <w:rsid w:val="00D47778"/>
    <w:rsid w:val="00D478A1"/>
    <w:rsid w:val="00D47945"/>
    <w:rsid w:val="00D47CD1"/>
    <w:rsid w:val="00D47D7D"/>
    <w:rsid w:val="00D5077A"/>
    <w:rsid w:val="00D50959"/>
    <w:rsid w:val="00D509ED"/>
    <w:rsid w:val="00D50BF4"/>
    <w:rsid w:val="00D50C64"/>
    <w:rsid w:val="00D50CAC"/>
    <w:rsid w:val="00D50E0C"/>
    <w:rsid w:val="00D50E17"/>
    <w:rsid w:val="00D50F76"/>
    <w:rsid w:val="00D51163"/>
    <w:rsid w:val="00D5177C"/>
    <w:rsid w:val="00D51D45"/>
    <w:rsid w:val="00D51D5D"/>
    <w:rsid w:val="00D51EE5"/>
    <w:rsid w:val="00D526C0"/>
    <w:rsid w:val="00D5286A"/>
    <w:rsid w:val="00D52E45"/>
    <w:rsid w:val="00D53DBE"/>
    <w:rsid w:val="00D541C7"/>
    <w:rsid w:val="00D54A1D"/>
    <w:rsid w:val="00D551EE"/>
    <w:rsid w:val="00D55536"/>
    <w:rsid w:val="00D5582C"/>
    <w:rsid w:val="00D5590B"/>
    <w:rsid w:val="00D55A28"/>
    <w:rsid w:val="00D5692E"/>
    <w:rsid w:val="00D569F3"/>
    <w:rsid w:val="00D56B2E"/>
    <w:rsid w:val="00D57593"/>
    <w:rsid w:val="00D57D8C"/>
    <w:rsid w:val="00D60C36"/>
    <w:rsid w:val="00D60CE4"/>
    <w:rsid w:val="00D610A1"/>
    <w:rsid w:val="00D612C9"/>
    <w:rsid w:val="00D614ED"/>
    <w:rsid w:val="00D6170B"/>
    <w:rsid w:val="00D61925"/>
    <w:rsid w:val="00D61BBC"/>
    <w:rsid w:val="00D61EBE"/>
    <w:rsid w:val="00D6201D"/>
    <w:rsid w:val="00D627CD"/>
    <w:rsid w:val="00D62FEC"/>
    <w:rsid w:val="00D63A51"/>
    <w:rsid w:val="00D64684"/>
    <w:rsid w:val="00D64C9B"/>
    <w:rsid w:val="00D655B4"/>
    <w:rsid w:val="00D65F9F"/>
    <w:rsid w:val="00D65FEF"/>
    <w:rsid w:val="00D66AD4"/>
    <w:rsid w:val="00D700E4"/>
    <w:rsid w:val="00D70209"/>
    <w:rsid w:val="00D702D4"/>
    <w:rsid w:val="00D70523"/>
    <w:rsid w:val="00D70621"/>
    <w:rsid w:val="00D70967"/>
    <w:rsid w:val="00D70AB9"/>
    <w:rsid w:val="00D70AFB"/>
    <w:rsid w:val="00D713EE"/>
    <w:rsid w:val="00D719A2"/>
    <w:rsid w:val="00D71AFD"/>
    <w:rsid w:val="00D7244A"/>
    <w:rsid w:val="00D729FD"/>
    <w:rsid w:val="00D73486"/>
    <w:rsid w:val="00D7360B"/>
    <w:rsid w:val="00D74275"/>
    <w:rsid w:val="00D74399"/>
    <w:rsid w:val="00D74E82"/>
    <w:rsid w:val="00D75430"/>
    <w:rsid w:val="00D7552D"/>
    <w:rsid w:val="00D76191"/>
    <w:rsid w:val="00D769D4"/>
    <w:rsid w:val="00D76DBF"/>
    <w:rsid w:val="00D775F8"/>
    <w:rsid w:val="00D77D66"/>
    <w:rsid w:val="00D8028F"/>
    <w:rsid w:val="00D802B0"/>
    <w:rsid w:val="00D80A49"/>
    <w:rsid w:val="00D8121B"/>
    <w:rsid w:val="00D81F3E"/>
    <w:rsid w:val="00D826E5"/>
    <w:rsid w:val="00D83185"/>
    <w:rsid w:val="00D8383F"/>
    <w:rsid w:val="00D83FC2"/>
    <w:rsid w:val="00D843E6"/>
    <w:rsid w:val="00D84447"/>
    <w:rsid w:val="00D8451B"/>
    <w:rsid w:val="00D84CEE"/>
    <w:rsid w:val="00D85BF1"/>
    <w:rsid w:val="00D85CDA"/>
    <w:rsid w:val="00D85EE7"/>
    <w:rsid w:val="00D865EA"/>
    <w:rsid w:val="00D86793"/>
    <w:rsid w:val="00D87070"/>
    <w:rsid w:val="00D87309"/>
    <w:rsid w:val="00D87365"/>
    <w:rsid w:val="00D8743D"/>
    <w:rsid w:val="00D87493"/>
    <w:rsid w:val="00D8789B"/>
    <w:rsid w:val="00D878E4"/>
    <w:rsid w:val="00D87A6C"/>
    <w:rsid w:val="00D904A2"/>
    <w:rsid w:val="00D907E0"/>
    <w:rsid w:val="00D90AF3"/>
    <w:rsid w:val="00D91716"/>
    <w:rsid w:val="00D91EC1"/>
    <w:rsid w:val="00D9234B"/>
    <w:rsid w:val="00D92942"/>
    <w:rsid w:val="00D92BE3"/>
    <w:rsid w:val="00D92C27"/>
    <w:rsid w:val="00D930FA"/>
    <w:rsid w:val="00D93E9B"/>
    <w:rsid w:val="00D94063"/>
    <w:rsid w:val="00D954E7"/>
    <w:rsid w:val="00D95648"/>
    <w:rsid w:val="00D959EA"/>
    <w:rsid w:val="00D968B3"/>
    <w:rsid w:val="00D96970"/>
    <w:rsid w:val="00D96A8A"/>
    <w:rsid w:val="00D96C42"/>
    <w:rsid w:val="00D96C65"/>
    <w:rsid w:val="00D973BF"/>
    <w:rsid w:val="00D97D1E"/>
    <w:rsid w:val="00DA041C"/>
    <w:rsid w:val="00DA0464"/>
    <w:rsid w:val="00DA06DB"/>
    <w:rsid w:val="00DA0733"/>
    <w:rsid w:val="00DA0CBD"/>
    <w:rsid w:val="00DA13B9"/>
    <w:rsid w:val="00DA1427"/>
    <w:rsid w:val="00DA1B0B"/>
    <w:rsid w:val="00DA1C1E"/>
    <w:rsid w:val="00DA24AA"/>
    <w:rsid w:val="00DA2C6A"/>
    <w:rsid w:val="00DA30C8"/>
    <w:rsid w:val="00DA34C3"/>
    <w:rsid w:val="00DA3D2E"/>
    <w:rsid w:val="00DA3F67"/>
    <w:rsid w:val="00DA457B"/>
    <w:rsid w:val="00DA461D"/>
    <w:rsid w:val="00DA4691"/>
    <w:rsid w:val="00DA54D2"/>
    <w:rsid w:val="00DA5BBA"/>
    <w:rsid w:val="00DA659C"/>
    <w:rsid w:val="00DA6C4A"/>
    <w:rsid w:val="00DA719E"/>
    <w:rsid w:val="00DA74A6"/>
    <w:rsid w:val="00DA7729"/>
    <w:rsid w:val="00DB00D7"/>
    <w:rsid w:val="00DB191C"/>
    <w:rsid w:val="00DB1F51"/>
    <w:rsid w:val="00DB2129"/>
    <w:rsid w:val="00DB21E3"/>
    <w:rsid w:val="00DB2780"/>
    <w:rsid w:val="00DB2A58"/>
    <w:rsid w:val="00DB3025"/>
    <w:rsid w:val="00DB3068"/>
    <w:rsid w:val="00DB3361"/>
    <w:rsid w:val="00DB39D8"/>
    <w:rsid w:val="00DB4082"/>
    <w:rsid w:val="00DB444C"/>
    <w:rsid w:val="00DB44C7"/>
    <w:rsid w:val="00DB4BE4"/>
    <w:rsid w:val="00DB4E07"/>
    <w:rsid w:val="00DB5138"/>
    <w:rsid w:val="00DB5381"/>
    <w:rsid w:val="00DB5493"/>
    <w:rsid w:val="00DB54DD"/>
    <w:rsid w:val="00DB5A4F"/>
    <w:rsid w:val="00DB5F4E"/>
    <w:rsid w:val="00DB6249"/>
    <w:rsid w:val="00DB69C6"/>
    <w:rsid w:val="00DC0140"/>
    <w:rsid w:val="00DC0151"/>
    <w:rsid w:val="00DC0537"/>
    <w:rsid w:val="00DC0600"/>
    <w:rsid w:val="00DC1131"/>
    <w:rsid w:val="00DC1304"/>
    <w:rsid w:val="00DC1524"/>
    <w:rsid w:val="00DC173F"/>
    <w:rsid w:val="00DC198C"/>
    <w:rsid w:val="00DC1E74"/>
    <w:rsid w:val="00DC2DD2"/>
    <w:rsid w:val="00DC31E8"/>
    <w:rsid w:val="00DC33A4"/>
    <w:rsid w:val="00DC3A30"/>
    <w:rsid w:val="00DC3B37"/>
    <w:rsid w:val="00DC4484"/>
    <w:rsid w:val="00DC44DC"/>
    <w:rsid w:val="00DC4784"/>
    <w:rsid w:val="00DC48C1"/>
    <w:rsid w:val="00DC50C4"/>
    <w:rsid w:val="00DC5F51"/>
    <w:rsid w:val="00DC64B7"/>
    <w:rsid w:val="00DC6550"/>
    <w:rsid w:val="00DC66A6"/>
    <w:rsid w:val="00DC6956"/>
    <w:rsid w:val="00DC6D0E"/>
    <w:rsid w:val="00DC6D8A"/>
    <w:rsid w:val="00DC6F90"/>
    <w:rsid w:val="00DC7DC8"/>
    <w:rsid w:val="00DD0721"/>
    <w:rsid w:val="00DD0E5B"/>
    <w:rsid w:val="00DD116E"/>
    <w:rsid w:val="00DD1249"/>
    <w:rsid w:val="00DD1ACE"/>
    <w:rsid w:val="00DD1B38"/>
    <w:rsid w:val="00DD1BC8"/>
    <w:rsid w:val="00DD1E8C"/>
    <w:rsid w:val="00DD1E95"/>
    <w:rsid w:val="00DD1EFB"/>
    <w:rsid w:val="00DD246C"/>
    <w:rsid w:val="00DD2F1A"/>
    <w:rsid w:val="00DD36B6"/>
    <w:rsid w:val="00DD37BF"/>
    <w:rsid w:val="00DD37D1"/>
    <w:rsid w:val="00DD37E4"/>
    <w:rsid w:val="00DD3E86"/>
    <w:rsid w:val="00DD410A"/>
    <w:rsid w:val="00DD4184"/>
    <w:rsid w:val="00DD4439"/>
    <w:rsid w:val="00DD4664"/>
    <w:rsid w:val="00DD4D01"/>
    <w:rsid w:val="00DD4DFE"/>
    <w:rsid w:val="00DD5844"/>
    <w:rsid w:val="00DD5D7F"/>
    <w:rsid w:val="00DD6600"/>
    <w:rsid w:val="00DD67D6"/>
    <w:rsid w:val="00DD6CE0"/>
    <w:rsid w:val="00DD70D4"/>
    <w:rsid w:val="00DD7306"/>
    <w:rsid w:val="00DD7729"/>
    <w:rsid w:val="00DD77F3"/>
    <w:rsid w:val="00DD7E49"/>
    <w:rsid w:val="00DE15C7"/>
    <w:rsid w:val="00DE1C02"/>
    <w:rsid w:val="00DE1F8A"/>
    <w:rsid w:val="00DE203E"/>
    <w:rsid w:val="00DE210C"/>
    <w:rsid w:val="00DE27FA"/>
    <w:rsid w:val="00DE28B7"/>
    <w:rsid w:val="00DE2EFE"/>
    <w:rsid w:val="00DE3010"/>
    <w:rsid w:val="00DE316C"/>
    <w:rsid w:val="00DE32C6"/>
    <w:rsid w:val="00DE340B"/>
    <w:rsid w:val="00DE382E"/>
    <w:rsid w:val="00DE39AA"/>
    <w:rsid w:val="00DE42A0"/>
    <w:rsid w:val="00DE5136"/>
    <w:rsid w:val="00DE55D3"/>
    <w:rsid w:val="00DE57BC"/>
    <w:rsid w:val="00DE5AFC"/>
    <w:rsid w:val="00DE61E9"/>
    <w:rsid w:val="00DE62E3"/>
    <w:rsid w:val="00DE62F9"/>
    <w:rsid w:val="00DE77AE"/>
    <w:rsid w:val="00DF07CA"/>
    <w:rsid w:val="00DF097C"/>
    <w:rsid w:val="00DF0C4B"/>
    <w:rsid w:val="00DF168B"/>
    <w:rsid w:val="00DF2179"/>
    <w:rsid w:val="00DF304A"/>
    <w:rsid w:val="00DF30F8"/>
    <w:rsid w:val="00DF43FD"/>
    <w:rsid w:val="00DF4693"/>
    <w:rsid w:val="00DF4B33"/>
    <w:rsid w:val="00DF4E39"/>
    <w:rsid w:val="00DF505E"/>
    <w:rsid w:val="00DF53F3"/>
    <w:rsid w:val="00DF577C"/>
    <w:rsid w:val="00DF5D39"/>
    <w:rsid w:val="00DF6BBC"/>
    <w:rsid w:val="00DF732C"/>
    <w:rsid w:val="00DF7458"/>
    <w:rsid w:val="00DF795E"/>
    <w:rsid w:val="00DF7A00"/>
    <w:rsid w:val="00DF7E95"/>
    <w:rsid w:val="00E0059C"/>
    <w:rsid w:val="00E019A1"/>
    <w:rsid w:val="00E01BC1"/>
    <w:rsid w:val="00E02927"/>
    <w:rsid w:val="00E02A8E"/>
    <w:rsid w:val="00E02D46"/>
    <w:rsid w:val="00E02E0E"/>
    <w:rsid w:val="00E02E70"/>
    <w:rsid w:val="00E0308C"/>
    <w:rsid w:val="00E031FB"/>
    <w:rsid w:val="00E03B8A"/>
    <w:rsid w:val="00E03EC9"/>
    <w:rsid w:val="00E04134"/>
    <w:rsid w:val="00E041EF"/>
    <w:rsid w:val="00E049D9"/>
    <w:rsid w:val="00E04C68"/>
    <w:rsid w:val="00E05165"/>
    <w:rsid w:val="00E05624"/>
    <w:rsid w:val="00E05D04"/>
    <w:rsid w:val="00E05E1B"/>
    <w:rsid w:val="00E07334"/>
    <w:rsid w:val="00E07804"/>
    <w:rsid w:val="00E07986"/>
    <w:rsid w:val="00E07A89"/>
    <w:rsid w:val="00E07D1A"/>
    <w:rsid w:val="00E10032"/>
    <w:rsid w:val="00E100AD"/>
    <w:rsid w:val="00E10F6F"/>
    <w:rsid w:val="00E1131B"/>
    <w:rsid w:val="00E11464"/>
    <w:rsid w:val="00E115D6"/>
    <w:rsid w:val="00E11C48"/>
    <w:rsid w:val="00E125A1"/>
    <w:rsid w:val="00E12E28"/>
    <w:rsid w:val="00E12F56"/>
    <w:rsid w:val="00E131BC"/>
    <w:rsid w:val="00E13826"/>
    <w:rsid w:val="00E139EB"/>
    <w:rsid w:val="00E13CFB"/>
    <w:rsid w:val="00E14126"/>
    <w:rsid w:val="00E14210"/>
    <w:rsid w:val="00E14695"/>
    <w:rsid w:val="00E14766"/>
    <w:rsid w:val="00E149BB"/>
    <w:rsid w:val="00E1571F"/>
    <w:rsid w:val="00E157F5"/>
    <w:rsid w:val="00E15A7D"/>
    <w:rsid w:val="00E15CE6"/>
    <w:rsid w:val="00E15D41"/>
    <w:rsid w:val="00E15E14"/>
    <w:rsid w:val="00E16116"/>
    <w:rsid w:val="00E16313"/>
    <w:rsid w:val="00E1665F"/>
    <w:rsid w:val="00E16C58"/>
    <w:rsid w:val="00E16C5D"/>
    <w:rsid w:val="00E16E65"/>
    <w:rsid w:val="00E16FCF"/>
    <w:rsid w:val="00E17921"/>
    <w:rsid w:val="00E17A10"/>
    <w:rsid w:val="00E17DD3"/>
    <w:rsid w:val="00E205AB"/>
    <w:rsid w:val="00E2068A"/>
    <w:rsid w:val="00E20EF0"/>
    <w:rsid w:val="00E20F2F"/>
    <w:rsid w:val="00E20F55"/>
    <w:rsid w:val="00E214E7"/>
    <w:rsid w:val="00E22701"/>
    <w:rsid w:val="00E228AD"/>
    <w:rsid w:val="00E22A05"/>
    <w:rsid w:val="00E22A14"/>
    <w:rsid w:val="00E23135"/>
    <w:rsid w:val="00E23E1A"/>
    <w:rsid w:val="00E244C0"/>
    <w:rsid w:val="00E24787"/>
    <w:rsid w:val="00E249B5"/>
    <w:rsid w:val="00E24F21"/>
    <w:rsid w:val="00E2532C"/>
    <w:rsid w:val="00E25934"/>
    <w:rsid w:val="00E26101"/>
    <w:rsid w:val="00E2610F"/>
    <w:rsid w:val="00E262C8"/>
    <w:rsid w:val="00E26B5B"/>
    <w:rsid w:val="00E26DF2"/>
    <w:rsid w:val="00E26EEF"/>
    <w:rsid w:val="00E271DB"/>
    <w:rsid w:val="00E30498"/>
    <w:rsid w:val="00E30A0A"/>
    <w:rsid w:val="00E30DCB"/>
    <w:rsid w:val="00E30E1A"/>
    <w:rsid w:val="00E30EDB"/>
    <w:rsid w:val="00E311A0"/>
    <w:rsid w:val="00E313E6"/>
    <w:rsid w:val="00E317A6"/>
    <w:rsid w:val="00E319E0"/>
    <w:rsid w:val="00E31BCD"/>
    <w:rsid w:val="00E32AD1"/>
    <w:rsid w:val="00E33338"/>
    <w:rsid w:val="00E3374D"/>
    <w:rsid w:val="00E33F5A"/>
    <w:rsid w:val="00E3489F"/>
    <w:rsid w:val="00E34AB8"/>
    <w:rsid w:val="00E3544D"/>
    <w:rsid w:val="00E35810"/>
    <w:rsid w:val="00E36162"/>
    <w:rsid w:val="00E36ADF"/>
    <w:rsid w:val="00E36B09"/>
    <w:rsid w:val="00E37066"/>
    <w:rsid w:val="00E375FF"/>
    <w:rsid w:val="00E40889"/>
    <w:rsid w:val="00E40A4D"/>
    <w:rsid w:val="00E40E07"/>
    <w:rsid w:val="00E40E63"/>
    <w:rsid w:val="00E40F40"/>
    <w:rsid w:val="00E41759"/>
    <w:rsid w:val="00E422A5"/>
    <w:rsid w:val="00E42425"/>
    <w:rsid w:val="00E4257B"/>
    <w:rsid w:val="00E4296D"/>
    <w:rsid w:val="00E42BFF"/>
    <w:rsid w:val="00E42CEF"/>
    <w:rsid w:val="00E432C7"/>
    <w:rsid w:val="00E43561"/>
    <w:rsid w:val="00E440A8"/>
    <w:rsid w:val="00E445B3"/>
    <w:rsid w:val="00E447EE"/>
    <w:rsid w:val="00E44A22"/>
    <w:rsid w:val="00E44C96"/>
    <w:rsid w:val="00E44D58"/>
    <w:rsid w:val="00E44DBD"/>
    <w:rsid w:val="00E44FED"/>
    <w:rsid w:val="00E45AE3"/>
    <w:rsid w:val="00E45D26"/>
    <w:rsid w:val="00E45DD2"/>
    <w:rsid w:val="00E45FE6"/>
    <w:rsid w:val="00E460CE"/>
    <w:rsid w:val="00E46678"/>
    <w:rsid w:val="00E4708B"/>
    <w:rsid w:val="00E4735E"/>
    <w:rsid w:val="00E47398"/>
    <w:rsid w:val="00E47596"/>
    <w:rsid w:val="00E475C0"/>
    <w:rsid w:val="00E47FCC"/>
    <w:rsid w:val="00E50117"/>
    <w:rsid w:val="00E513A9"/>
    <w:rsid w:val="00E51512"/>
    <w:rsid w:val="00E5176E"/>
    <w:rsid w:val="00E51ADF"/>
    <w:rsid w:val="00E51C2F"/>
    <w:rsid w:val="00E5250E"/>
    <w:rsid w:val="00E52F24"/>
    <w:rsid w:val="00E533D5"/>
    <w:rsid w:val="00E5347E"/>
    <w:rsid w:val="00E53AC4"/>
    <w:rsid w:val="00E53EDE"/>
    <w:rsid w:val="00E5403A"/>
    <w:rsid w:val="00E548DF"/>
    <w:rsid w:val="00E54BD3"/>
    <w:rsid w:val="00E55534"/>
    <w:rsid w:val="00E55C2D"/>
    <w:rsid w:val="00E55ECF"/>
    <w:rsid w:val="00E564D4"/>
    <w:rsid w:val="00E56B84"/>
    <w:rsid w:val="00E572C5"/>
    <w:rsid w:val="00E5754E"/>
    <w:rsid w:val="00E578A5"/>
    <w:rsid w:val="00E578CB"/>
    <w:rsid w:val="00E60032"/>
    <w:rsid w:val="00E601C7"/>
    <w:rsid w:val="00E605FC"/>
    <w:rsid w:val="00E60DCD"/>
    <w:rsid w:val="00E60DF1"/>
    <w:rsid w:val="00E60E49"/>
    <w:rsid w:val="00E61145"/>
    <w:rsid w:val="00E614BE"/>
    <w:rsid w:val="00E61D0C"/>
    <w:rsid w:val="00E629CE"/>
    <w:rsid w:val="00E62C9E"/>
    <w:rsid w:val="00E62E44"/>
    <w:rsid w:val="00E62EB6"/>
    <w:rsid w:val="00E6315F"/>
    <w:rsid w:val="00E63281"/>
    <w:rsid w:val="00E63811"/>
    <w:rsid w:val="00E64240"/>
    <w:rsid w:val="00E64245"/>
    <w:rsid w:val="00E64284"/>
    <w:rsid w:val="00E64311"/>
    <w:rsid w:val="00E646A6"/>
    <w:rsid w:val="00E64F6D"/>
    <w:rsid w:val="00E65FD6"/>
    <w:rsid w:val="00E6600A"/>
    <w:rsid w:val="00E66037"/>
    <w:rsid w:val="00E6623D"/>
    <w:rsid w:val="00E662C0"/>
    <w:rsid w:val="00E6652A"/>
    <w:rsid w:val="00E6667E"/>
    <w:rsid w:val="00E66CF8"/>
    <w:rsid w:val="00E672BB"/>
    <w:rsid w:val="00E67850"/>
    <w:rsid w:val="00E67CFD"/>
    <w:rsid w:val="00E702A2"/>
    <w:rsid w:val="00E7054B"/>
    <w:rsid w:val="00E715D9"/>
    <w:rsid w:val="00E715E8"/>
    <w:rsid w:val="00E7176D"/>
    <w:rsid w:val="00E7199C"/>
    <w:rsid w:val="00E71B6A"/>
    <w:rsid w:val="00E71CC9"/>
    <w:rsid w:val="00E73072"/>
    <w:rsid w:val="00E73109"/>
    <w:rsid w:val="00E74257"/>
    <w:rsid w:val="00E75166"/>
    <w:rsid w:val="00E751DD"/>
    <w:rsid w:val="00E75324"/>
    <w:rsid w:val="00E767D8"/>
    <w:rsid w:val="00E76833"/>
    <w:rsid w:val="00E771A7"/>
    <w:rsid w:val="00E77432"/>
    <w:rsid w:val="00E77492"/>
    <w:rsid w:val="00E77D95"/>
    <w:rsid w:val="00E8000D"/>
    <w:rsid w:val="00E803F9"/>
    <w:rsid w:val="00E80AAB"/>
    <w:rsid w:val="00E80CCC"/>
    <w:rsid w:val="00E80CE7"/>
    <w:rsid w:val="00E80D14"/>
    <w:rsid w:val="00E810D9"/>
    <w:rsid w:val="00E8189C"/>
    <w:rsid w:val="00E81A75"/>
    <w:rsid w:val="00E81DE0"/>
    <w:rsid w:val="00E82B72"/>
    <w:rsid w:val="00E82BD3"/>
    <w:rsid w:val="00E82C70"/>
    <w:rsid w:val="00E82DA1"/>
    <w:rsid w:val="00E82DF3"/>
    <w:rsid w:val="00E83CD0"/>
    <w:rsid w:val="00E84061"/>
    <w:rsid w:val="00E84270"/>
    <w:rsid w:val="00E84C17"/>
    <w:rsid w:val="00E855C0"/>
    <w:rsid w:val="00E85DE7"/>
    <w:rsid w:val="00E872D2"/>
    <w:rsid w:val="00E87445"/>
    <w:rsid w:val="00E877D3"/>
    <w:rsid w:val="00E878BF"/>
    <w:rsid w:val="00E878FC"/>
    <w:rsid w:val="00E87A6A"/>
    <w:rsid w:val="00E87A8F"/>
    <w:rsid w:val="00E90014"/>
    <w:rsid w:val="00E906A1"/>
    <w:rsid w:val="00E90B93"/>
    <w:rsid w:val="00E90F80"/>
    <w:rsid w:val="00E91456"/>
    <w:rsid w:val="00E9239B"/>
    <w:rsid w:val="00E93313"/>
    <w:rsid w:val="00E93478"/>
    <w:rsid w:val="00E93624"/>
    <w:rsid w:val="00E944EE"/>
    <w:rsid w:val="00E948E8"/>
    <w:rsid w:val="00E948F7"/>
    <w:rsid w:val="00E9521A"/>
    <w:rsid w:val="00E953A2"/>
    <w:rsid w:val="00E9556B"/>
    <w:rsid w:val="00E956D7"/>
    <w:rsid w:val="00E958CE"/>
    <w:rsid w:val="00E95D33"/>
    <w:rsid w:val="00E95DE0"/>
    <w:rsid w:val="00E963E9"/>
    <w:rsid w:val="00E9664F"/>
    <w:rsid w:val="00E97374"/>
    <w:rsid w:val="00E97467"/>
    <w:rsid w:val="00E9749D"/>
    <w:rsid w:val="00E974D8"/>
    <w:rsid w:val="00E976BA"/>
    <w:rsid w:val="00E978F2"/>
    <w:rsid w:val="00E979C9"/>
    <w:rsid w:val="00E97BDA"/>
    <w:rsid w:val="00E97FCC"/>
    <w:rsid w:val="00E97FE2"/>
    <w:rsid w:val="00EA0717"/>
    <w:rsid w:val="00EA09A1"/>
    <w:rsid w:val="00EA0F3B"/>
    <w:rsid w:val="00EA120B"/>
    <w:rsid w:val="00EA1D57"/>
    <w:rsid w:val="00EA1FA5"/>
    <w:rsid w:val="00EA25D4"/>
    <w:rsid w:val="00EA368E"/>
    <w:rsid w:val="00EA38E7"/>
    <w:rsid w:val="00EA3B53"/>
    <w:rsid w:val="00EA3C3F"/>
    <w:rsid w:val="00EA4132"/>
    <w:rsid w:val="00EA49EF"/>
    <w:rsid w:val="00EA4B54"/>
    <w:rsid w:val="00EA4EA4"/>
    <w:rsid w:val="00EA4ECC"/>
    <w:rsid w:val="00EA57A2"/>
    <w:rsid w:val="00EA588E"/>
    <w:rsid w:val="00EA5B1B"/>
    <w:rsid w:val="00EA5B62"/>
    <w:rsid w:val="00EA5DE3"/>
    <w:rsid w:val="00EA685F"/>
    <w:rsid w:val="00EA6ABB"/>
    <w:rsid w:val="00EA78A6"/>
    <w:rsid w:val="00EA7D3A"/>
    <w:rsid w:val="00EA7F9C"/>
    <w:rsid w:val="00EB040C"/>
    <w:rsid w:val="00EB0BAB"/>
    <w:rsid w:val="00EB0EB0"/>
    <w:rsid w:val="00EB1638"/>
    <w:rsid w:val="00EB1DBA"/>
    <w:rsid w:val="00EB1EB8"/>
    <w:rsid w:val="00EB3023"/>
    <w:rsid w:val="00EB3301"/>
    <w:rsid w:val="00EB4286"/>
    <w:rsid w:val="00EB460C"/>
    <w:rsid w:val="00EB5133"/>
    <w:rsid w:val="00EB5413"/>
    <w:rsid w:val="00EB55FA"/>
    <w:rsid w:val="00EB640F"/>
    <w:rsid w:val="00EB74C4"/>
    <w:rsid w:val="00EB7730"/>
    <w:rsid w:val="00EC02AB"/>
    <w:rsid w:val="00EC1676"/>
    <w:rsid w:val="00EC1A7F"/>
    <w:rsid w:val="00EC1BD1"/>
    <w:rsid w:val="00EC2168"/>
    <w:rsid w:val="00EC2172"/>
    <w:rsid w:val="00EC25C8"/>
    <w:rsid w:val="00EC2639"/>
    <w:rsid w:val="00EC2820"/>
    <w:rsid w:val="00EC2D84"/>
    <w:rsid w:val="00EC2DC7"/>
    <w:rsid w:val="00EC2DCB"/>
    <w:rsid w:val="00EC341E"/>
    <w:rsid w:val="00EC342F"/>
    <w:rsid w:val="00EC3EEE"/>
    <w:rsid w:val="00EC482D"/>
    <w:rsid w:val="00EC482E"/>
    <w:rsid w:val="00EC53A6"/>
    <w:rsid w:val="00EC5717"/>
    <w:rsid w:val="00EC5850"/>
    <w:rsid w:val="00EC6A4E"/>
    <w:rsid w:val="00EC703A"/>
    <w:rsid w:val="00EC7CBA"/>
    <w:rsid w:val="00EC7F37"/>
    <w:rsid w:val="00ED041E"/>
    <w:rsid w:val="00ED048C"/>
    <w:rsid w:val="00ED1407"/>
    <w:rsid w:val="00ED1952"/>
    <w:rsid w:val="00ED1C4C"/>
    <w:rsid w:val="00ED1F4C"/>
    <w:rsid w:val="00ED233B"/>
    <w:rsid w:val="00ED2C3B"/>
    <w:rsid w:val="00ED3226"/>
    <w:rsid w:val="00ED33C1"/>
    <w:rsid w:val="00ED33CA"/>
    <w:rsid w:val="00ED34AC"/>
    <w:rsid w:val="00ED3801"/>
    <w:rsid w:val="00ED38B9"/>
    <w:rsid w:val="00ED39D4"/>
    <w:rsid w:val="00ED3A33"/>
    <w:rsid w:val="00ED4213"/>
    <w:rsid w:val="00ED43DB"/>
    <w:rsid w:val="00ED4411"/>
    <w:rsid w:val="00ED470C"/>
    <w:rsid w:val="00ED48C0"/>
    <w:rsid w:val="00ED4F8E"/>
    <w:rsid w:val="00ED4FC9"/>
    <w:rsid w:val="00ED52A1"/>
    <w:rsid w:val="00ED578F"/>
    <w:rsid w:val="00ED5AE6"/>
    <w:rsid w:val="00ED5C8D"/>
    <w:rsid w:val="00ED5CEF"/>
    <w:rsid w:val="00ED5D26"/>
    <w:rsid w:val="00ED6BE5"/>
    <w:rsid w:val="00ED6E2B"/>
    <w:rsid w:val="00ED6FB4"/>
    <w:rsid w:val="00ED7103"/>
    <w:rsid w:val="00ED7A06"/>
    <w:rsid w:val="00ED7B23"/>
    <w:rsid w:val="00ED7BB7"/>
    <w:rsid w:val="00ED7CBF"/>
    <w:rsid w:val="00ED7D17"/>
    <w:rsid w:val="00EE0053"/>
    <w:rsid w:val="00EE0286"/>
    <w:rsid w:val="00EE20D1"/>
    <w:rsid w:val="00EE227B"/>
    <w:rsid w:val="00EE23C4"/>
    <w:rsid w:val="00EE24C5"/>
    <w:rsid w:val="00EE27C9"/>
    <w:rsid w:val="00EE3826"/>
    <w:rsid w:val="00EE3837"/>
    <w:rsid w:val="00EE4218"/>
    <w:rsid w:val="00EE478D"/>
    <w:rsid w:val="00EE4795"/>
    <w:rsid w:val="00EE4812"/>
    <w:rsid w:val="00EE49E2"/>
    <w:rsid w:val="00EE58A7"/>
    <w:rsid w:val="00EE6822"/>
    <w:rsid w:val="00EE72FE"/>
    <w:rsid w:val="00EE75BF"/>
    <w:rsid w:val="00EE774D"/>
    <w:rsid w:val="00EE7D45"/>
    <w:rsid w:val="00EF0068"/>
    <w:rsid w:val="00EF07CF"/>
    <w:rsid w:val="00EF0914"/>
    <w:rsid w:val="00EF09CF"/>
    <w:rsid w:val="00EF10F0"/>
    <w:rsid w:val="00EF110A"/>
    <w:rsid w:val="00EF16EE"/>
    <w:rsid w:val="00EF182E"/>
    <w:rsid w:val="00EF2299"/>
    <w:rsid w:val="00EF2557"/>
    <w:rsid w:val="00EF334D"/>
    <w:rsid w:val="00EF3EC3"/>
    <w:rsid w:val="00EF3EC7"/>
    <w:rsid w:val="00EF48C0"/>
    <w:rsid w:val="00EF4B94"/>
    <w:rsid w:val="00EF526B"/>
    <w:rsid w:val="00EF592C"/>
    <w:rsid w:val="00EF5A06"/>
    <w:rsid w:val="00EF5D47"/>
    <w:rsid w:val="00EF5D83"/>
    <w:rsid w:val="00EF6247"/>
    <w:rsid w:val="00EF6265"/>
    <w:rsid w:val="00EF68FE"/>
    <w:rsid w:val="00EF6A11"/>
    <w:rsid w:val="00EF71E1"/>
    <w:rsid w:val="00EF727C"/>
    <w:rsid w:val="00EF73F8"/>
    <w:rsid w:val="00EF79AC"/>
    <w:rsid w:val="00EF7C9C"/>
    <w:rsid w:val="00EF7E76"/>
    <w:rsid w:val="00F00C60"/>
    <w:rsid w:val="00F00D66"/>
    <w:rsid w:val="00F00DC1"/>
    <w:rsid w:val="00F00E36"/>
    <w:rsid w:val="00F02334"/>
    <w:rsid w:val="00F024DE"/>
    <w:rsid w:val="00F02657"/>
    <w:rsid w:val="00F028A4"/>
    <w:rsid w:val="00F029EC"/>
    <w:rsid w:val="00F0367B"/>
    <w:rsid w:val="00F03A09"/>
    <w:rsid w:val="00F0510E"/>
    <w:rsid w:val="00F05D7F"/>
    <w:rsid w:val="00F0636E"/>
    <w:rsid w:val="00F07429"/>
    <w:rsid w:val="00F07DEB"/>
    <w:rsid w:val="00F1017F"/>
    <w:rsid w:val="00F10A44"/>
    <w:rsid w:val="00F10DE4"/>
    <w:rsid w:val="00F10FAE"/>
    <w:rsid w:val="00F11B98"/>
    <w:rsid w:val="00F12135"/>
    <w:rsid w:val="00F121C1"/>
    <w:rsid w:val="00F123AC"/>
    <w:rsid w:val="00F13317"/>
    <w:rsid w:val="00F142CE"/>
    <w:rsid w:val="00F14404"/>
    <w:rsid w:val="00F14569"/>
    <w:rsid w:val="00F15759"/>
    <w:rsid w:val="00F15863"/>
    <w:rsid w:val="00F16527"/>
    <w:rsid w:val="00F173E3"/>
    <w:rsid w:val="00F176BE"/>
    <w:rsid w:val="00F17D4A"/>
    <w:rsid w:val="00F20851"/>
    <w:rsid w:val="00F208D2"/>
    <w:rsid w:val="00F20A55"/>
    <w:rsid w:val="00F20C32"/>
    <w:rsid w:val="00F20E85"/>
    <w:rsid w:val="00F210BC"/>
    <w:rsid w:val="00F212C1"/>
    <w:rsid w:val="00F21498"/>
    <w:rsid w:val="00F2174E"/>
    <w:rsid w:val="00F217A9"/>
    <w:rsid w:val="00F217B8"/>
    <w:rsid w:val="00F21B66"/>
    <w:rsid w:val="00F21EEE"/>
    <w:rsid w:val="00F21FA9"/>
    <w:rsid w:val="00F22C3F"/>
    <w:rsid w:val="00F22F17"/>
    <w:rsid w:val="00F233C9"/>
    <w:rsid w:val="00F23AAB"/>
    <w:rsid w:val="00F23CD1"/>
    <w:rsid w:val="00F240F1"/>
    <w:rsid w:val="00F24DD4"/>
    <w:rsid w:val="00F24E73"/>
    <w:rsid w:val="00F25483"/>
    <w:rsid w:val="00F254E5"/>
    <w:rsid w:val="00F256CA"/>
    <w:rsid w:val="00F2599E"/>
    <w:rsid w:val="00F25BC1"/>
    <w:rsid w:val="00F25E34"/>
    <w:rsid w:val="00F26AAE"/>
    <w:rsid w:val="00F26E78"/>
    <w:rsid w:val="00F26E8A"/>
    <w:rsid w:val="00F273A8"/>
    <w:rsid w:val="00F275FB"/>
    <w:rsid w:val="00F2766C"/>
    <w:rsid w:val="00F27C73"/>
    <w:rsid w:val="00F303B7"/>
    <w:rsid w:val="00F308A3"/>
    <w:rsid w:val="00F309E2"/>
    <w:rsid w:val="00F30B2A"/>
    <w:rsid w:val="00F30F7D"/>
    <w:rsid w:val="00F31319"/>
    <w:rsid w:val="00F314DA"/>
    <w:rsid w:val="00F317B2"/>
    <w:rsid w:val="00F31B9C"/>
    <w:rsid w:val="00F31C7A"/>
    <w:rsid w:val="00F32359"/>
    <w:rsid w:val="00F32AF7"/>
    <w:rsid w:val="00F336C5"/>
    <w:rsid w:val="00F3489B"/>
    <w:rsid w:val="00F34A53"/>
    <w:rsid w:val="00F35083"/>
    <w:rsid w:val="00F35110"/>
    <w:rsid w:val="00F352B9"/>
    <w:rsid w:val="00F35357"/>
    <w:rsid w:val="00F3541D"/>
    <w:rsid w:val="00F35551"/>
    <w:rsid w:val="00F357C3"/>
    <w:rsid w:val="00F367C4"/>
    <w:rsid w:val="00F36FDC"/>
    <w:rsid w:val="00F37F4F"/>
    <w:rsid w:val="00F4005D"/>
    <w:rsid w:val="00F409FD"/>
    <w:rsid w:val="00F40C44"/>
    <w:rsid w:val="00F40F74"/>
    <w:rsid w:val="00F41238"/>
    <w:rsid w:val="00F413EB"/>
    <w:rsid w:val="00F41AAF"/>
    <w:rsid w:val="00F43699"/>
    <w:rsid w:val="00F43B26"/>
    <w:rsid w:val="00F440CF"/>
    <w:rsid w:val="00F44AC7"/>
    <w:rsid w:val="00F450E2"/>
    <w:rsid w:val="00F45220"/>
    <w:rsid w:val="00F45F12"/>
    <w:rsid w:val="00F46155"/>
    <w:rsid w:val="00F462FD"/>
    <w:rsid w:val="00F464C3"/>
    <w:rsid w:val="00F46643"/>
    <w:rsid w:val="00F4665D"/>
    <w:rsid w:val="00F4722E"/>
    <w:rsid w:val="00F47CE3"/>
    <w:rsid w:val="00F5197A"/>
    <w:rsid w:val="00F51EEB"/>
    <w:rsid w:val="00F52E23"/>
    <w:rsid w:val="00F534DC"/>
    <w:rsid w:val="00F538EA"/>
    <w:rsid w:val="00F5398C"/>
    <w:rsid w:val="00F53BF4"/>
    <w:rsid w:val="00F53D82"/>
    <w:rsid w:val="00F53ECD"/>
    <w:rsid w:val="00F54960"/>
    <w:rsid w:val="00F54C52"/>
    <w:rsid w:val="00F54C6A"/>
    <w:rsid w:val="00F54ECE"/>
    <w:rsid w:val="00F5535C"/>
    <w:rsid w:val="00F55AFB"/>
    <w:rsid w:val="00F55B23"/>
    <w:rsid w:val="00F57009"/>
    <w:rsid w:val="00F57014"/>
    <w:rsid w:val="00F57217"/>
    <w:rsid w:val="00F578F4"/>
    <w:rsid w:val="00F579AA"/>
    <w:rsid w:val="00F57A01"/>
    <w:rsid w:val="00F57CC0"/>
    <w:rsid w:val="00F57E17"/>
    <w:rsid w:val="00F60063"/>
    <w:rsid w:val="00F606AF"/>
    <w:rsid w:val="00F60969"/>
    <w:rsid w:val="00F612E8"/>
    <w:rsid w:val="00F616A4"/>
    <w:rsid w:val="00F6203F"/>
    <w:rsid w:val="00F62D9A"/>
    <w:rsid w:val="00F62F67"/>
    <w:rsid w:val="00F63522"/>
    <w:rsid w:val="00F6380E"/>
    <w:rsid w:val="00F63964"/>
    <w:rsid w:val="00F63A2A"/>
    <w:rsid w:val="00F63C4F"/>
    <w:rsid w:val="00F63CA4"/>
    <w:rsid w:val="00F648CB"/>
    <w:rsid w:val="00F649E3"/>
    <w:rsid w:val="00F6536B"/>
    <w:rsid w:val="00F657F2"/>
    <w:rsid w:val="00F658AC"/>
    <w:rsid w:val="00F65A03"/>
    <w:rsid w:val="00F6621C"/>
    <w:rsid w:val="00F6656C"/>
    <w:rsid w:val="00F66A13"/>
    <w:rsid w:val="00F67670"/>
    <w:rsid w:val="00F67884"/>
    <w:rsid w:val="00F67E62"/>
    <w:rsid w:val="00F70217"/>
    <w:rsid w:val="00F70778"/>
    <w:rsid w:val="00F70A77"/>
    <w:rsid w:val="00F70C7D"/>
    <w:rsid w:val="00F70CBC"/>
    <w:rsid w:val="00F70EEA"/>
    <w:rsid w:val="00F71034"/>
    <w:rsid w:val="00F7109A"/>
    <w:rsid w:val="00F716AE"/>
    <w:rsid w:val="00F71730"/>
    <w:rsid w:val="00F72029"/>
    <w:rsid w:val="00F72055"/>
    <w:rsid w:val="00F723DC"/>
    <w:rsid w:val="00F724F0"/>
    <w:rsid w:val="00F72732"/>
    <w:rsid w:val="00F72CA6"/>
    <w:rsid w:val="00F731F8"/>
    <w:rsid w:val="00F735B1"/>
    <w:rsid w:val="00F73CA8"/>
    <w:rsid w:val="00F73EBC"/>
    <w:rsid w:val="00F73F72"/>
    <w:rsid w:val="00F74E36"/>
    <w:rsid w:val="00F7544C"/>
    <w:rsid w:val="00F76139"/>
    <w:rsid w:val="00F76968"/>
    <w:rsid w:val="00F76B73"/>
    <w:rsid w:val="00F76D53"/>
    <w:rsid w:val="00F7760D"/>
    <w:rsid w:val="00F80B1D"/>
    <w:rsid w:val="00F80C2F"/>
    <w:rsid w:val="00F80E9A"/>
    <w:rsid w:val="00F8140A"/>
    <w:rsid w:val="00F81976"/>
    <w:rsid w:val="00F81B77"/>
    <w:rsid w:val="00F81DA8"/>
    <w:rsid w:val="00F82473"/>
    <w:rsid w:val="00F8261E"/>
    <w:rsid w:val="00F82854"/>
    <w:rsid w:val="00F82984"/>
    <w:rsid w:val="00F8311C"/>
    <w:rsid w:val="00F83243"/>
    <w:rsid w:val="00F833C7"/>
    <w:rsid w:val="00F83603"/>
    <w:rsid w:val="00F836A0"/>
    <w:rsid w:val="00F83FC0"/>
    <w:rsid w:val="00F84679"/>
    <w:rsid w:val="00F846A2"/>
    <w:rsid w:val="00F85764"/>
    <w:rsid w:val="00F85C4A"/>
    <w:rsid w:val="00F8620B"/>
    <w:rsid w:val="00F86654"/>
    <w:rsid w:val="00F8665C"/>
    <w:rsid w:val="00F86A0F"/>
    <w:rsid w:val="00F87136"/>
    <w:rsid w:val="00F87521"/>
    <w:rsid w:val="00F87AE4"/>
    <w:rsid w:val="00F903B4"/>
    <w:rsid w:val="00F907C2"/>
    <w:rsid w:val="00F90AC4"/>
    <w:rsid w:val="00F90C59"/>
    <w:rsid w:val="00F90D21"/>
    <w:rsid w:val="00F91598"/>
    <w:rsid w:val="00F915FE"/>
    <w:rsid w:val="00F91E87"/>
    <w:rsid w:val="00F91E96"/>
    <w:rsid w:val="00F921CF"/>
    <w:rsid w:val="00F9222D"/>
    <w:rsid w:val="00F92688"/>
    <w:rsid w:val="00F92D3A"/>
    <w:rsid w:val="00F92F53"/>
    <w:rsid w:val="00F92F61"/>
    <w:rsid w:val="00F93125"/>
    <w:rsid w:val="00F934DD"/>
    <w:rsid w:val="00F93693"/>
    <w:rsid w:val="00F93C7E"/>
    <w:rsid w:val="00F94173"/>
    <w:rsid w:val="00F95053"/>
    <w:rsid w:val="00F95F38"/>
    <w:rsid w:val="00F9784F"/>
    <w:rsid w:val="00F97FA4"/>
    <w:rsid w:val="00FA0311"/>
    <w:rsid w:val="00FA0432"/>
    <w:rsid w:val="00FA13DA"/>
    <w:rsid w:val="00FA1C71"/>
    <w:rsid w:val="00FA26F2"/>
    <w:rsid w:val="00FA288C"/>
    <w:rsid w:val="00FA39C7"/>
    <w:rsid w:val="00FA41F8"/>
    <w:rsid w:val="00FA44E9"/>
    <w:rsid w:val="00FA5471"/>
    <w:rsid w:val="00FA54A5"/>
    <w:rsid w:val="00FA5E3E"/>
    <w:rsid w:val="00FA664F"/>
    <w:rsid w:val="00FA75EE"/>
    <w:rsid w:val="00FB0537"/>
    <w:rsid w:val="00FB0556"/>
    <w:rsid w:val="00FB095C"/>
    <w:rsid w:val="00FB0BC4"/>
    <w:rsid w:val="00FB0C91"/>
    <w:rsid w:val="00FB1148"/>
    <w:rsid w:val="00FB11FF"/>
    <w:rsid w:val="00FB14E7"/>
    <w:rsid w:val="00FB19E3"/>
    <w:rsid w:val="00FB2742"/>
    <w:rsid w:val="00FB2F7E"/>
    <w:rsid w:val="00FB3115"/>
    <w:rsid w:val="00FB3172"/>
    <w:rsid w:val="00FB348D"/>
    <w:rsid w:val="00FB39BB"/>
    <w:rsid w:val="00FB3D15"/>
    <w:rsid w:val="00FB3E8A"/>
    <w:rsid w:val="00FB4EE6"/>
    <w:rsid w:val="00FB51B6"/>
    <w:rsid w:val="00FB520E"/>
    <w:rsid w:val="00FB55B2"/>
    <w:rsid w:val="00FB5DCC"/>
    <w:rsid w:val="00FB5FC1"/>
    <w:rsid w:val="00FB63EE"/>
    <w:rsid w:val="00FB71AC"/>
    <w:rsid w:val="00FB7369"/>
    <w:rsid w:val="00FB73D3"/>
    <w:rsid w:val="00FB75B0"/>
    <w:rsid w:val="00FB78C0"/>
    <w:rsid w:val="00FB791F"/>
    <w:rsid w:val="00FC0975"/>
    <w:rsid w:val="00FC09D2"/>
    <w:rsid w:val="00FC0E64"/>
    <w:rsid w:val="00FC2A76"/>
    <w:rsid w:val="00FC3075"/>
    <w:rsid w:val="00FC3137"/>
    <w:rsid w:val="00FC3B61"/>
    <w:rsid w:val="00FC4278"/>
    <w:rsid w:val="00FC4B0B"/>
    <w:rsid w:val="00FC4C5D"/>
    <w:rsid w:val="00FC51F4"/>
    <w:rsid w:val="00FC5242"/>
    <w:rsid w:val="00FC52F0"/>
    <w:rsid w:val="00FC5763"/>
    <w:rsid w:val="00FC5AAF"/>
    <w:rsid w:val="00FC5B04"/>
    <w:rsid w:val="00FC611E"/>
    <w:rsid w:val="00FC6559"/>
    <w:rsid w:val="00FC662C"/>
    <w:rsid w:val="00FC6648"/>
    <w:rsid w:val="00FC6754"/>
    <w:rsid w:val="00FC7298"/>
    <w:rsid w:val="00FC7620"/>
    <w:rsid w:val="00FD044C"/>
    <w:rsid w:val="00FD1077"/>
    <w:rsid w:val="00FD1281"/>
    <w:rsid w:val="00FD1374"/>
    <w:rsid w:val="00FD14EC"/>
    <w:rsid w:val="00FD189F"/>
    <w:rsid w:val="00FD1E73"/>
    <w:rsid w:val="00FD2A81"/>
    <w:rsid w:val="00FD3B9F"/>
    <w:rsid w:val="00FD50E0"/>
    <w:rsid w:val="00FD5396"/>
    <w:rsid w:val="00FD540E"/>
    <w:rsid w:val="00FD5FF6"/>
    <w:rsid w:val="00FD60EE"/>
    <w:rsid w:val="00FD61A7"/>
    <w:rsid w:val="00FD67B6"/>
    <w:rsid w:val="00FD7550"/>
    <w:rsid w:val="00FD79F7"/>
    <w:rsid w:val="00FE0355"/>
    <w:rsid w:val="00FE1004"/>
    <w:rsid w:val="00FE10B4"/>
    <w:rsid w:val="00FE1433"/>
    <w:rsid w:val="00FE1835"/>
    <w:rsid w:val="00FE1C5C"/>
    <w:rsid w:val="00FE1F71"/>
    <w:rsid w:val="00FE2C54"/>
    <w:rsid w:val="00FE334B"/>
    <w:rsid w:val="00FE3747"/>
    <w:rsid w:val="00FE3BBA"/>
    <w:rsid w:val="00FE402F"/>
    <w:rsid w:val="00FE40C0"/>
    <w:rsid w:val="00FE439D"/>
    <w:rsid w:val="00FE443B"/>
    <w:rsid w:val="00FE4716"/>
    <w:rsid w:val="00FE4A59"/>
    <w:rsid w:val="00FE52DA"/>
    <w:rsid w:val="00FE5526"/>
    <w:rsid w:val="00FE5D03"/>
    <w:rsid w:val="00FE5EF4"/>
    <w:rsid w:val="00FE6555"/>
    <w:rsid w:val="00FE65BD"/>
    <w:rsid w:val="00FE6993"/>
    <w:rsid w:val="00FE6C9C"/>
    <w:rsid w:val="00FE727F"/>
    <w:rsid w:val="00FE7565"/>
    <w:rsid w:val="00FE79D7"/>
    <w:rsid w:val="00FE7C59"/>
    <w:rsid w:val="00FE7CD3"/>
    <w:rsid w:val="00FF0878"/>
    <w:rsid w:val="00FF0EE8"/>
    <w:rsid w:val="00FF13B7"/>
    <w:rsid w:val="00FF1CE1"/>
    <w:rsid w:val="00FF247B"/>
    <w:rsid w:val="00FF292B"/>
    <w:rsid w:val="00FF2E25"/>
    <w:rsid w:val="00FF2F54"/>
    <w:rsid w:val="00FF3398"/>
    <w:rsid w:val="00FF37EE"/>
    <w:rsid w:val="00FF3897"/>
    <w:rsid w:val="00FF399B"/>
    <w:rsid w:val="00FF3C42"/>
    <w:rsid w:val="00FF44F3"/>
    <w:rsid w:val="00FF5039"/>
    <w:rsid w:val="00FF5239"/>
    <w:rsid w:val="00FF571F"/>
    <w:rsid w:val="00FF65A1"/>
    <w:rsid w:val="00FF6910"/>
    <w:rsid w:val="00FF6C36"/>
    <w:rsid w:val="00FF764E"/>
    <w:rsid w:val="00FF77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BF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AD"/>
    <w:pPr>
      <w:spacing w:line="480" w:lineRule="auto"/>
      <w:ind w:firstLine="426"/>
      <w:jc w:val="both"/>
    </w:pPr>
    <w:rPr>
      <w:sz w:val="24"/>
      <w:szCs w:val="24"/>
      <w:lang w:val="en-GB" w:eastAsia="en-GB"/>
    </w:rPr>
  </w:style>
  <w:style w:type="paragraph" w:styleId="Heading1">
    <w:name w:val="heading 1"/>
    <w:basedOn w:val="Normal"/>
    <w:next w:val="Normal"/>
    <w:link w:val="Heading1Char"/>
    <w:qFormat/>
    <w:rsid w:val="005A69DD"/>
    <w:pPr>
      <w:keepNext/>
      <w:keepLines/>
      <w:numPr>
        <w:numId w:val="9"/>
      </w:numPr>
      <w:spacing w:line="360" w:lineRule="auto"/>
      <w:jc w:val="left"/>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EC2168"/>
    <w:pPr>
      <w:keepNext/>
      <w:keepLines/>
      <w:spacing w:line="276" w:lineRule="auto"/>
      <w:ind w:firstLine="0"/>
      <w:outlineLvl w:val="1"/>
    </w:pPr>
    <w:rPr>
      <w:rFonts w:eastAsiaTheme="majorEastAs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9DD"/>
    <w:rPr>
      <w:rFonts w:asciiTheme="majorHAnsi" w:eastAsiaTheme="majorEastAsia" w:hAnsiTheme="majorHAnsi" w:cstheme="majorBidi"/>
      <w:b/>
      <w:bCs/>
      <w:sz w:val="28"/>
      <w:szCs w:val="28"/>
      <w:lang w:val="en-GB" w:eastAsia="en-GB"/>
    </w:rPr>
  </w:style>
  <w:style w:type="paragraph" w:customStyle="1" w:styleId="Default">
    <w:name w:val="Default"/>
    <w:rsid w:val="00BB6FCA"/>
    <w:pPr>
      <w:autoSpaceDE w:val="0"/>
      <w:autoSpaceDN w:val="0"/>
      <w:adjustRightInd w:val="0"/>
    </w:pPr>
    <w:rPr>
      <w:rFonts w:ascii="Code" w:hAnsi="Code" w:cs="Code"/>
      <w:color w:val="000000"/>
      <w:sz w:val="24"/>
      <w:szCs w:val="24"/>
    </w:rPr>
  </w:style>
  <w:style w:type="paragraph" w:styleId="FootnoteText">
    <w:name w:val="footnote text"/>
    <w:basedOn w:val="Normal"/>
    <w:link w:val="FootnoteTextChar"/>
    <w:uiPriority w:val="99"/>
    <w:rsid w:val="00E01BC1"/>
    <w:pPr>
      <w:spacing w:line="240" w:lineRule="auto"/>
      <w:ind w:firstLine="0"/>
    </w:pPr>
    <w:rPr>
      <w:sz w:val="20"/>
      <w:szCs w:val="20"/>
    </w:rPr>
  </w:style>
  <w:style w:type="character" w:customStyle="1" w:styleId="FootnoteTextChar">
    <w:name w:val="Footnote Text Char"/>
    <w:basedOn w:val="DefaultParagraphFont"/>
    <w:link w:val="FootnoteText"/>
    <w:uiPriority w:val="99"/>
    <w:rsid w:val="00E01BC1"/>
    <w:rPr>
      <w:lang w:val="en-GB" w:eastAsia="en-GB"/>
    </w:rPr>
  </w:style>
  <w:style w:type="character" w:styleId="FootnoteReference">
    <w:name w:val="footnote reference"/>
    <w:basedOn w:val="DefaultParagraphFont"/>
    <w:uiPriority w:val="99"/>
    <w:rsid w:val="00E01BC1"/>
    <w:rPr>
      <w:rFonts w:ascii="Times New Roman" w:hAnsi="Times New Roman"/>
      <w:sz w:val="22"/>
      <w:bdr w:val="none" w:sz="0" w:space="0" w:color="auto"/>
      <w:vertAlign w:val="superscript"/>
    </w:rPr>
  </w:style>
  <w:style w:type="character" w:styleId="PlaceholderText">
    <w:name w:val="Placeholder Text"/>
    <w:basedOn w:val="DefaultParagraphFont"/>
    <w:uiPriority w:val="99"/>
    <w:semiHidden/>
    <w:rsid w:val="00CA03AC"/>
    <w:rPr>
      <w:color w:val="808080"/>
    </w:rPr>
  </w:style>
  <w:style w:type="paragraph" w:styleId="BalloonText">
    <w:name w:val="Balloon Text"/>
    <w:basedOn w:val="Normal"/>
    <w:link w:val="BalloonTextChar"/>
    <w:rsid w:val="00CA03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03AC"/>
    <w:rPr>
      <w:rFonts w:ascii="Tahoma" w:hAnsi="Tahoma" w:cs="Tahoma"/>
      <w:sz w:val="16"/>
      <w:szCs w:val="16"/>
      <w:lang w:val="en-GB" w:eastAsia="en-GB"/>
    </w:rPr>
  </w:style>
  <w:style w:type="character" w:customStyle="1" w:styleId="Heading2Char">
    <w:name w:val="Heading 2 Char"/>
    <w:basedOn w:val="DefaultParagraphFont"/>
    <w:link w:val="Heading2"/>
    <w:rsid w:val="00EC2168"/>
    <w:rPr>
      <w:rFonts w:eastAsiaTheme="majorEastAsia"/>
      <w:b/>
      <w:bCs/>
      <w:sz w:val="24"/>
      <w:szCs w:val="26"/>
      <w:lang w:val="en-GB" w:eastAsia="en-GB"/>
    </w:rPr>
  </w:style>
  <w:style w:type="paragraph" w:customStyle="1" w:styleId="TextFirst">
    <w:name w:val="Text First"/>
    <w:basedOn w:val="Normal"/>
    <w:link w:val="TextFirstChar3"/>
    <w:rsid w:val="00C601B9"/>
    <w:pPr>
      <w:ind w:firstLine="432"/>
    </w:pPr>
    <w:rPr>
      <w:rFonts w:eastAsia="Batang"/>
      <w:sz w:val="22"/>
      <w:lang w:val="en-US" w:eastAsia="en-US"/>
    </w:rPr>
  </w:style>
  <w:style w:type="character" w:customStyle="1" w:styleId="TextFirstChar3">
    <w:name w:val="Text First Char3"/>
    <w:link w:val="TextFirst"/>
    <w:rsid w:val="00C601B9"/>
    <w:rPr>
      <w:rFonts w:eastAsia="Batang"/>
      <w:sz w:val="22"/>
      <w:szCs w:val="24"/>
      <w:lang w:val="en-US" w:eastAsia="en-US"/>
    </w:rPr>
  </w:style>
  <w:style w:type="character" w:customStyle="1" w:styleId="st">
    <w:name w:val="st"/>
    <w:basedOn w:val="DefaultParagraphFont"/>
    <w:rsid w:val="007A3CA2"/>
  </w:style>
  <w:style w:type="character" w:styleId="Strong">
    <w:name w:val="Strong"/>
    <w:basedOn w:val="DefaultParagraphFont"/>
    <w:qFormat/>
    <w:rsid w:val="002F5D6C"/>
  </w:style>
  <w:style w:type="table" w:styleId="TableGrid">
    <w:name w:val="Table Grid"/>
    <w:basedOn w:val="TableNormal"/>
    <w:uiPriority w:val="59"/>
    <w:rsid w:val="00A4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DB4E07"/>
    <w:pPr>
      <w:widowControl w:val="0"/>
      <w:adjustRightInd w:val="0"/>
      <w:spacing w:after="120" w:line="240" w:lineRule="auto"/>
      <w:ind w:left="432" w:hanging="432"/>
      <w:textAlignment w:val="baseline"/>
    </w:pPr>
    <w:rPr>
      <w:sz w:val="22"/>
      <w:szCs w:val="20"/>
      <w:lang w:val="en-US" w:eastAsia="en-US"/>
    </w:rPr>
  </w:style>
  <w:style w:type="paragraph" w:styleId="Quote">
    <w:name w:val="Quote"/>
    <w:basedOn w:val="Normal"/>
    <w:next w:val="Normal"/>
    <w:link w:val="QuoteChar"/>
    <w:uiPriority w:val="29"/>
    <w:qFormat/>
    <w:rsid w:val="00A05F1A"/>
    <w:pPr>
      <w:spacing w:after="240" w:line="240" w:lineRule="auto"/>
    </w:pPr>
    <w:rPr>
      <w:iCs/>
      <w:color w:val="000000" w:themeColor="text1"/>
    </w:rPr>
  </w:style>
  <w:style w:type="character" w:customStyle="1" w:styleId="QuoteChar">
    <w:name w:val="Quote Char"/>
    <w:basedOn w:val="DefaultParagraphFont"/>
    <w:link w:val="Quote"/>
    <w:uiPriority w:val="29"/>
    <w:rsid w:val="00A05F1A"/>
    <w:rPr>
      <w:iCs/>
      <w:color w:val="000000" w:themeColor="text1"/>
      <w:sz w:val="24"/>
      <w:szCs w:val="24"/>
      <w:lang w:val="en-GB" w:eastAsia="en-GB"/>
    </w:rPr>
  </w:style>
  <w:style w:type="character" w:styleId="CommentReference">
    <w:name w:val="annotation reference"/>
    <w:basedOn w:val="DefaultParagraphFont"/>
    <w:uiPriority w:val="99"/>
    <w:rsid w:val="00912A74"/>
    <w:rPr>
      <w:sz w:val="16"/>
      <w:szCs w:val="16"/>
    </w:rPr>
  </w:style>
  <w:style w:type="paragraph" w:styleId="CommentText">
    <w:name w:val="annotation text"/>
    <w:basedOn w:val="Normal"/>
    <w:link w:val="CommentTextChar"/>
    <w:uiPriority w:val="99"/>
    <w:rsid w:val="00912A74"/>
    <w:pPr>
      <w:spacing w:line="240" w:lineRule="auto"/>
    </w:pPr>
    <w:rPr>
      <w:sz w:val="20"/>
      <w:szCs w:val="20"/>
    </w:rPr>
  </w:style>
  <w:style w:type="character" w:customStyle="1" w:styleId="CommentTextChar">
    <w:name w:val="Comment Text Char"/>
    <w:basedOn w:val="DefaultParagraphFont"/>
    <w:link w:val="CommentText"/>
    <w:uiPriority w:val="99"/>
    <w:rsid w:val="00912A74"/>
    <w:rPr>
      <w:lang w:val="en-GB" w:eastAsia="en-GB"/>
    </w:rPr>
  </w:style>
  <w:style w:type="paragraph" w:styleId="CommentSubject">
    <w:name w:val="annotation subject"/>
    <w:basedOn w:val="CommentText"/>
    <w:next w:val="CommentText"/>
    <w:link w:val="CommentSubjectChar"/>
    <w:rsid w:val="00912A74"/>
    <w:rPr>
      <w:b/>
      <w:bCs/>
    </w:rPr>
  </w:style>
  <w:style w:type="character" w:customStyle="1" w:styleId="CommentSubjectChar">
    <w:name w:val="Comment Subject Char"/>
    <w:basedOn w:val="CommentTextChar"/>
    <w:link w:val="CommentSubject"/>
    <w:rsid w:val="00912A74"/>
    <w:rPr>
      <w:b/>
      <w:bCs/>
      <w:lang w:val="en-GB" w:eastAsia="en-GB"/>
    </w:rPr>
  </w:style>
  <w:style w:type="paragraph" w:styleId="ListParagraph">
    <w:name w:val="List Paragraph"/>
    <w:basedOn w:val="Normal"/>
    <w:uiPriority w:val="34"/>
    <w:qFormat/>
    <w:rsid w:val="002722ED"/>
    <w:pPr>
      <w:ind w:left="720"/>
      <w:contextualSpacing/>
    </w:pPr>
  </w:style>
  <w:style w:type="paragraph" w:styleId="Revision">
    <w:name w:val="Revision"/>
    <w:hidden/>
    <w:uiPriority w:val="99"/>
    <w:semiHidden/>
    <w:rsid w:val="00975624"/>
    <w:rPr>
      <w:sz w:val="24"/>
      <w:szCs w:val="24"/>
      <w:lang w:val="en-GB" w:eastAsia="en-GB"/>
    </w:rPr>
  </w:style>
  <w:style w:type="character" w:styleId="SubtleReference">
    <w:name w:val="Subtle Reference"/>
    <w:aliases w:val="Table"/>
    <w:uiPriority w:val="31"/>
    <w:qFormat/>
    <w:rsid w:val="00670699"/>
    <w:rPr>
      <w:rFonts w:ascii="Times New Roman" w:hAnsi="Times New Roman"/>
      <w:sz w:val="18"/>
      <w:szCs w:val="18"/>
      <w:lang w:eastAsia="fr-FR"/>
    </w:rPr>
  </w:style>
  <w:style w:type="character" w:styleId="Hyperlink">
    <w:name w:val="Hyperlink"/>
    <w:basedOn w:val="DefaultParagraphFont"/>
    <w:unhideWhenUsed/>
    <w:rsid w:val="00040DDC"/>
    <w:rPr>
      <w:color w:val="0000FF"/>
      <w:u w:val="single"/>
    </w:rPr>
  </w:style>
  <w:style w:type="paragraph" w:customStyle="1" w:styleId="EndNoteBibliography">
    <w:name w:val="EndNote Bibliography"/>
    <w:basedOn w:val="Normal"/>
    <w:link w:val="EndNoteBibliographyChar"/>
    <w:rsid w:val="00D826E5"/>
    <w:pPr>
      <w:spacing w:after="200" w:line="240" w:lineRule="auto"/>
      <w:ind w:firstLine="0"/>
      <w:jc w:val="left"/>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D826E5"/>
    <w:rPr>
      <w:rFonts w:ascii="Calibri" w:eastAsiaTheme="minorHAnsi" w:hAnsi="Calibri" w:cstheme="minorBidi"/>
      <w:noProof/>
      <w:sz w:val="22"/>
      <w:szCs w:val="22"/>
      <w:lang w:val="en-US" w:eastAsia="en-US"/>
    </w:rPr>
  </w:style>
  <w:style w:type="paragraph" w:customStyle="1" w:styleId="Abstract">
    <w:name w:val="Abstract"/>
    <w:basedOn w:val="Normal"/>
    <w:link w:val="AbstractChar"/>
    <w:qFormat/>
    <w:rsid w:val="00D70209"/>
    <w:pPr>
      <w:spacing w:line="276" w:lineRule="auto"/>
      <w:ind w:firstLine="284"/>
    </w:pPr>
  </w:style>
  <w:style w:type="paragraph" w:styleId="Caption">
    <w:name w:val="caption"/>
    <w:basedOn w:val="Normal"/>
    <w:next w:val="Normal"/>
    <w:unhideWhenUsed/>
    <w:qFormat/>
    <w:rsid w:val="00B05AF5"/>
    <w:pPr>
      <w:spacing w:after="200" w:line="240" w:lineRule="auto"/>
      <w:ind w:firstLine="0"/>
      <w:jc w:val="center"/>
    </w:pPr>
    <w:rPr>
      <w:bCs/>
      <w:i/>
      <w:szCs w:val="18"/>
    </w:rPr>
  </w:style>
  <w:style w:type="character" w:customStyle="1" w:styleId="AbstractChar">
    <w:name w:val="Abstract Char"/>
    <w:basedOn w:val="DefaultParagraphFont"/>
    <w:link w:val="Abstract"/>
    <w:rsid w:val="00D70209"/>
    <w:rPr>
      <w:sz w:val="24"/>
      <w:szCs w:val="24"/>
      <w:lang w:val="en-GB" w:eastAsia="en-GB"/>
    </w:rPr>
  </w:style>
  <w:style w:type="paragraph" w:styleId="Subtitle">
    <w:name w:val="Subtitle"/>
    <w:basedOn w:val="Normal"/>
    <w:next w:val="Normal"/>
    <w:link w:val="SubtitleChar"/>
    <w:qFormat/>
    <w:rsid w:val="004D7A01"/>
    <w:pPr>
      <w:numPr>
        <w:ilvl w:val="1"/>
      </w:numPr>
      <w:spacing w:line="240" w:lineRule="auto"/>
      <w:ind w:firstLine="426"/>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rsid w:val="004D7A01"/>
    <w:rPr>
      <w:rFonts w:asciiTheme="majorHAnsi" w:eastAsiaTheme="majorEastAsia" w:hAnsiTheme="majorHAnsi" w:cstheme="majorBidi"/>
      <w:i/>
      <w:iCs/>
      <w:spacing w:val="15"/>
      <w:sz w:val="24"/>
      <w:szCs w:val="24"/>
      <w:lang w:val="en-GB" w:eastAsia="en-GB"/>
    </w:rPr>
  </w:style>
  <w:style w:type="paragraph" w:styleId="Footer">
    <w:name w:val="footer"/>
    <w:basedOn w:val="Normal"/>
    <w:link w:val="FooterChar1"/>
    <w:rsid w:val="00247237"/>
    <w:pPr>
      <w:suppressLineNumbers/>
      <w:tabs>
        <w:tab w:val="center" w:pos="4513"/>
        <w:tab w:val="right" w:pos="9026"/>
      </w:tabs>
      <w:suppressAutoHyphens/>
      <w:spacing w:line="100" w:lineRule="atLeast"/>
      <w:ind w:firstLine="425"/>
    </w:pPr>
    <w:rPr>
      <w:rFonts w:eastAsia="SimSun" w:cstheme="minorHAnsi"/>
      <w:bCs/>
      <w:kern w:val="1"/>
      <w:sz w:val="22"/>
      <w:szCs w:val="22"/>
      <w:lang w:val="en-US" w:eastAsia="en-US"/>
    </w:rPr>
  </w:style>
  <w:style w:type="character" w:customStyle="1" w:styleId="FooterChar">
    <w:name w:val="Footer Char"/>
    <w:basedOn w:val="DefaultParagraphFont"/>
    <w:uiPriority w:val="99"/>
    <w:rsid w:val="00247237"/>
    <w:rPr>
      <w:sz w:val="24"/>
      <w:szCs w:val="24"/>
      <w:lang w:val="en-GB" w:eastAsia="en-GB"/>
    </w:rPr>
  </w:style>
  <w:style w:type="character" w:customStyle="1" w:styleId="FooterChar1">
    <w:name w:val="Footer Char1"/>
    <w:basedOn w:val="DefaultParagraphFont"/>
    <w:link w:val="Footer"/>
    <w:rsid w:val="00247237"/>
    <w:rPr>
      <w:rFonts w:eastAsia="SimSun" w:cstheme="minorHAnsi"/>
      <w:bCs/>
      <w:kern w:val="1"/>
      <w:sz w:val="22"/>
      <w:szCs w:val="22"/>
      <w:lang w:val="en-US" w:eastAsia="en-US"/>
    </w:rPr>
  </w:style>
  <w:style w:type="character" w:styleId="IntenseEmphasis">
    <w:name w:val="Intense Emphasis"/>
    <w:uiPriority w:val="21"/>
    <w:qFormat/>
    <w:rsid w:val="00247237"/>
  </w:style>
  <w:style w:type="paragraph" w:customStyle="1" w:styleId="Maintext">
    <w:name w:val="Main text"/>
    <w:basedOn w:val="Normal"/>
    <w:link w:val="MaintextChar"/>
    <w:qFormat/>
    <w:rsid w:val="00247237"/>
    <w:pPr>
      <w:suppressAutoHyphens/>
    </w:pPr>
    <w:rPr>
      <w:rFonts w:eastAsia="SimSun" w:cstheme="minorHAnsi"/>
      <w:bCs/>
      <w:kern w:val="1"/>
      <w:sz w:val="22"/>
      <w:szCs w:val="22"/>
      <w:lang w:val="en-US" w:eastAsia="en-US"/>
    </w:rPr>
  </w:style>
  <w:style w:type="character" w:customStyle="1" w:styleId="MaintextChar">
    <w:name w:val="Main text Char"/>
    <w:basedOn w:val="DefaultParagraphFont"/>
    <w:link w:val="Maintext"/>
    <w:rsid w:val="00247237"/>
    <w:rPr>
      <w:rFonts w:eastAsia="SimSun" w:cstheme="minorHAnsi"/>
      <w:bCs/>
      <w:kern w:val="1"/>
      <w:sz w:val="22"/>
      <w:szCs w:val="22"/>
      <w:lang w:val="en-US" w:eastAsia="en-US"/>
    </w:rPr>
  </w:style>
  <w:style w:type="paragraph" w:styleId="Header">
    <w:name w:val="header"/>
    <w:basedOn w:val="Normal"/>
    <w:link w:val="HeaderChar"/>
    <w:rsid w:val="002E6E0F"/>
    <w:pPr>
      <w:tabs>
        <w:tab w:val="center" w:pos="4513"/>
        <w:tab w:val="right" w:pos="9026"/>
      </w:tabs>
      <w:spacing w:line="240" w:lineRule="auto"/>
    </w:pPr>
  </w:style>
  <w:style w:type="character" w:customStyle="1" w:styleId="HeaderChar">
    <w:name w:val="Header Char"/>
    <w:basedOn w:val="DefaultParagraphFont"/>
    <w:link w:val="Header"/>
    <w:rsid w:val="002E6E0F"/>
    <w:rPr>
      <w:sz w:val="24"/>
      <w:szCs w:val="24"/>
      <w:lang w:val="en-GB" w:eastAsia="en-GB"/>
    </w:rPr>
  </w:style>
  <w:style w:type="paragraph" w:styleId="Bibliography">
    <w:name w:val="Bibliography"/>
    <w:basedOn w:val="Normal"/>
    <w:next w:val="Normal"/>
    <w:uiPriority w:val="37"/>
    <w:semiHidden/>
    <w:unhideWhenUsed/>
    <w:rsid w:val="00A50BB2"/>
  </w:style>
  <w:style w:type="paragraph" w:styleId="NormalWeb">
    <w:name w:val="Normal (Web)"/>
    <w:basedOn w:val="Normal"/>
    <w:uiPriority w:val="99"/>
    <w:unhideWhenUsed/>
    <w:rsid w:val="00B71E52"/>
    <w:pPr>
      <w:spacing w:before="100" w:beforeAutospacing="1" w:after="100" w:afterAutospacing="1" w:line="240" w:lineRule="auto"/>
      <w:ind w:firstLine="0"/>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AD"/>
    <w:pPr>
      <w:spacing w:line="480" w:lineRule="auto"/>
      <w:ind w:firstLine="426"/>
      <w:jc w:val="both"/>
    </w:pPr>
    <w:rPr>
      <w:sz w:val="24"/>
      <w:szCs w:val="24"/>
      <w:lang w:val="en-GB" w:eastAsia="en-GB"/>
    </w:rPr>
  </w:style>
  <w:style w:type="paragraph" w:styleId="Heading1">
    <w:name w:val="heading 1"/>
    <w:basedOn w:val="Normal"/>
    <w:next w:val="Normal"/>
    <w:link w:val="Heading1Char"/>
    <w:qFormat/>
    <w:rsid w:val="005A69DD"/>
    <w:pPr>
      <w:keepNext/>
      <w:keepLines/>
      <w:numPr>
        <w:numId w:val="9"/>
      </w:numPr>
      <w:spacing w:line="360" w:lineRule="auto"/>
      <w:jc w:val="left"/>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EC2168"/>
    <w:pPr>
      <w:keepNext/>
      <w:keepLines/>
      <w:spacing w:line="276" w:lineRule="auto"/>
      <w:ind w:firstLine="0"/>
      <w:outlineLvl w:val="1"/>
    </w:pPr>
    <w:rPr>
      <w:rFonts w:eastAsiaTheme="majorEastAs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9DD"/>
    <w:rPr>
      <w:rFonts w:asciiTheme="majorHAnsi" w:eastAsiaTheme="majorEastAsia" w:hAnsiTheme="majorHAnsi" w:cstheme="majorBidi"/>
      <w:b/>
      <w:bCs/>
      <w:sz w:val="28"/>
      <w:szCs w:val="28"/>
      <w:lang w:val="en-GB" w:eastAsia="en-GB"/>
    </w:rPr>
  </w:style>
  <w:style w:type="paragraph" w:customStyle="1" w:styleId="Default">
    <w:name w:val="Default"/>
    <w:rsid w:val="00BB6FCA"/>
    <w:pPr>
      <w:autoSpaceDE w:val="0"/>
      <w:autoSpaceDN w:val="0"/>
      <w:adjustRightInd w:val="0"/>
    </w:pPr>
    <w:rPr>
      <w:rFonts w:ascii="Code" w:hAnsi="Code" w:cs="Code"/>
      <w:color w:val="000000"/>
      <w:sz w:val="24"/>
      <w:szCs w:val="24"/>
    </w:rPr>
  </w:style>
  <w:style w:type="paragraph" w:styleId="FootnoteText">
    <w:name w:val="footnote text"/>
    <w:basedOn w:val="Normal"/>
    <w:link w:val="FootnoteTextChar"/>
    <w:uiPriority w:val="99"/>
    <w:rsid w:val="00E01BC1"/>
    <w:pPr>
      <w:spacing w:line="240" w:lineRule="auto"/>
      <w:ind w:firstLine="0"/>
    </w:pPr>
    <w:rPr>
      <w:sz w:val="20"/>
      <w:szCs w:val="20"/>
    </w:rPr>
  </w:style>
  <w:style w:type="character" w:customStyle="1" w:styleId="FootnoteTextChar">
    <w:name w:val="Footnote Text Char"/>
    <w:basedOn w:val="DefaultParagraphFont"/>
    <w:link w:val="FootnoteText"/>
    <w:uiPriority w:val="99"/>
    <w:rsid w:val="00E01BC1"/>
    <w:rPr>
      <w:lang w:val="en-GB" w:eastAsia="en-GB"/>
    </w:rPr>
  </w:style>
  <w:style w:type="character" w:styleId="FootnoteReference">
    <w:name w:val="footnote reference"/>
    <w:basedOn w:val="DefaultParagraphFont"/>
    <w:uiPriority w:val="99"/>
    <w:rsid w:val="00E01BC1"/>
    <w:rPr>
      <w:rFonts w:ascii="Times New Roman" w:hAnsi="Times New Roman"/>
      <w:sz w:val="22"/>
      <w:bdr w:val="none" w:sz="0" w:space="0" w:color="auto"/>
      <w:vertAlign w:val="superscript"/>
    </w:rPr>
  </w:style>
  <w:style w:type="character" w:styleId="PlaceholderText">
    <w:name w:val="Placeholder Text"/>
    <w:basedOn w:val="DefaultParagraphFont"/>
    <w:uiPriority w:val="99"/>
    <w:semiHidden/>
    <w:rsid w:val="00CA03AC"/>
    <w:rPr>
      <w:color w:val="808080"/>
    </w:rPr>
  </w:style>
  <w:style w:type="paragraph" w:styleId="BalloonText">
    <w:name w:val="Balloon Text"/>
    <w:basedOn w:val="Normal"/>
    <w:link w:val="BalloonTextChar"/>
    <w:rsid w:val="00CA03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03AC"/>
    <w:rPr>
      <w:rFonts w:ascii="Tahoma" w:hAnsi="Tahoma" w:cs="Tahoma"/>
      <w:sz w:val="16"/>
      <w:szCs w:val="16"/>
      <w:lang w:val="en-GB" w:eastAsia="en-GB"/>
    </w:rPr>
  </w:style>
  <w:style w:type="character" w:customStyle="1" w:styleId="Heading2Char">
    <w:name w:val="Heading 2 Char"/>
    <w:basedOn w:val="DefaultParagraphFont"/>
    <w:link w:val="Heading2"/>
    <w:rsid w:val="00EC2168"/>
    <w:rPr>
      <w:rFonts w:eastAsiaTheme="majorEastAsia"/>
      <w:b/>
      <w:bCs/>
      <w:sz w:val="24"/>
      <w:szCs w:val="26"/>
      <w:lang w:val="en-GB" w:eastAsia="en-GB"/>
    </w:rPr>
  </w:style>
  <w:style w:type="paragraph" w:customStyle="1" w:styleId="TextFirst">
    <w:name w:val="Text First"/>
    <w:basedOn w:val="Normal"/>
    <w:link w:val="TextFirstChar3"/>
    <w:rsid w:val="00C601B9"/>
    <w:pPr>
      <w:ind w:firstLine="432"/>
    </w:pPr>
    <w:rPr>
      <w:rFonts w:eastAsia="Batang"/>
      <w:sz w:val="22"/>
      <w:lang w:val="en-US" w:eastAsia="en-US"/>
    </w:rPr>
  </w:style>
  <w:style w:type="character" w:customStyle="1" w:styleId="TextFirstChar3">
    <w:name w:val="Text First Char3"/>
    <w:link w:val="TextFirst"/>
    <w:rsid w:val="00C601B9"/>
    <w:rPr>
      <w:rFonts w:eastAsia="Batang"/>
      <w:sz w:val="22"/>
      <w:szCs w:val="24"/>
      <w:lang w:val="en-US" w:eastAsia="en-US"/>
    </w:rPr>
  </w:style>
  <w:style w:type="character" w:customStyle="1" w:styleId="st">
    <w:name w:val="st"/>
    <w:basedOn w:val="DefaultParagraphFont"/>
    <w:rsid w:val="007A3CA2"/>
  </w:style>
  <w:style w:type="character" w:styleId="Strong">
    <w:name w:val="Strong"/>
    <w:basedOn w:val="DefaultParagraphFont"/>
    <w:qFormat/>
    <w:rsid w:val="002F5D6C"/>
  </w:style>
  <w:style w:type="table" w:styleId="TableGrid">
    <w:name w:val="Table Grid"/>
    <w:basedOn w:val="TableNormal"/>
    <w:uiPriority w:val="59"/>
    <w:rsid w:val="00A4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DB4E07"/>
    <w:pPr>
      <w:widowControl w:val="0"/>
      <w:adjustRightInd w:val="0"/>
      <w:spacing w:after="120" w:line="240" w:lineRule="auto"/>
      <w:ind w:left="432" w:hanging="432"/>
      <w:textAlignment w:val="baseline"/>
    </w:pPr>
    <w:rPr>
      <w:sz w:val="22"/>
      <w:szCs w:val="20"/>
      <w:lang w:val="en-US" w:eastAsia="en-US"/>
    </w:rPr>
  </w:style>
  <w:style w:type="paragraph" w:styleId="Quote">
    <w:name w:val="Quote"/>
    <w:basedOn w:val="Normal"/>
    <w:next w:val="Normal"/>
    <w:link w:val="QuoteChar"/>
    <w:uiPriority w:val="29"/>
    <w:qFormat/>
    <w:rsid w:val="00A05F1A"/>
    <w:pPr>
      <w:spacing w:after="240" w:line="240" w:lineRule="auto"/>
    </w:pPr>
    <w:rPr>
      <w:iCs/>
      <w:color w:val="000000" w:themeColor="text1"/>
    </w:rPr>
  </w:style>
  <w:style w:type="character" w:customStyle="1" w:styleId="QuoteChar">
    <w:name w:val="Quote Char"/>
    <w:basedOn w:val="DefaultParagraphFont"/>
    <w:link w:val="Quote"/>
    <w:uiPriority w:val="29"/>
    <w:rsid w:val="00A05F1A"/>
    <w:rPr>
      <w:iCs/>
      <w:color w:val="000000" w:themeColor="text1"/>
      <w:sz w:val="24"/>
      <w:szCs w:val="24"/>
      <w:lang w:val="en-GB" w:eastAsia="en-GB"/>
    </w:rPr>
  </w:style>
  <w:style w:type="character" w:styleId="CommentReference">
    <w:name w:val="annotation reference"/>
    <w:basedOn w:val="DefaultParagraphFont"/>
    <w:uiPriority w:val="99"/>
    <w:rsid w:val="00912A74"/>
    <w:rPr>
      <w:sz w:val="16"/>
      <w:szCs w:val="16"/>
    </w:rPr>
  </w:style>
  <w:style w:type="paragraph" w:styleId="CommentText">
    <w:name w:val="annotation text"/>
    <w:basedOn w:val="Normal"/>
    <w:link w:val="CommentTextChar"/>
    <w:uiPriority w:val="99"/>
    <w:rsid w:val="00912A74"/>
    <w:pPr>
      <w:spacing w:line="240" w:lineRule="auto"/>
    </w:pPr>
    <w:rPr>
      <w:sz w:val="20"/>
      <w:szCs w:val="20"/>
    </w:rPr>
  </w:style>
  <w:style w:type="character" w:customStyle="1" w:styleId="CommentTextChar">
    <w:name w:val="Comment Text Char"/>
    <w:basedOn w:val="DefaultParagraphFont"/>
    <w:link w:val="CommentText"/>
    <w:uiPriority w:val="99"/>
    <w:rsid w:val="00912A74"/>
    <w:rPr>
      <w:lang w:val="en-GB" w:eastAsia="en-GB"/>
    </w:rPr>
  </w:style>
  <w:style w:type="paragraph" w:styleId="CommentSubject">
    <w:name w:val="annotation subject"/>
    <w:basedOn w:val="CommentText"/>
    <w:next w:val="CommentText"/>
    <w:link w:val="CommentSubjectChar"/>
    <w:rsid w:val="00912A74"/>
    <w:rPr>
      <w:b/>
      <w:bCs/>
    </w:rPr>
  </w:style>
  <w:style w:type="character" w:customStyle="1" w:styleId="CommentSubjectChar">
    <w:name w:val="Comment Subject Char"/>
    <w:basedOn w:val="CommentTextChar"/>
    <w:link w:val="CommentSubject"/>
    <w:rsid w:val="00912A74"/>
    <w:rPr>
      <w:b/>
      <w:bCs/>
      <w:lang w:val="en-GB" w:eastAsia="en-GB"/>
    </w:rPr>
  </w:style>
  <w:style w:type="paragraph" w:styleId="ListParagraph">
    <w:name w:val="List Paragraph"/>
    <w:basedOn w:val="Normal"/>
    <w:uiPriority w:val="34"/>
    <w:qFormat/>
    <w:rsid w:val="002722ED"/>
    <w:pPr>
      <w:ind w:left="720"/>
      <w:contextualSpacing/>
    </w:pPr>
  </w:style>
  <w:style w:type="paragraph" w:styleId="Revision">
    <w:name w:val="Revision"/>
    <w:hidden/>
    <w:uiPriority w:val="99"/>
    <w:semiHidden/>
    <w:rsid w:val="00975624"/>
    <w:rPr>
      <w:sz w:val="24"/>
      <w:szCs w:val="24"/>
      <w:lang w:val="en-GB" w:eastAsia="en-GB"/>
    </w:rPr>
  </w:style>
  <w:style w:type="character" w:styleId="SubtleReference">
    <w:name w:val="Subtle Reference"/>
    <w:aliases w:val="Table"/>
    <w:uiPriority w:val="31"/>
    <w:qFormat/>
    <w:rsid w:val="00670699"/>
    <w:rPr>
      <w:rFonts w:ascii="Times New Roman" w:hAnsi="Times New Roman"/>
      <w:sz w:val="18"/>
      <w:szCs w:val="18"/>
      <w:lang w:eastAsia="fr-FR"/>
    </w:rPr>
  </w:style>
  <w:style w:type="character" w:styleId="Hyperlink">
    <w:name w:val="Hyperlink"/>
    <w:basedOn w:val="DefaultParagraphFont"/>
    <w:unhideWhenUsed/>
    <w:rsid w:val="00040DDC"/>
    <w:rPr>
      <w:color w:val="0000FF"/>
      <w:u w:val="single"/>
    </w:rPr>
  </w:style>
  <w:style w:type="paragraph" w:customStyle="1" w:styleId="EndNoteBibliography">
    <w:name w:val="EndNote Bibliography"/>
    <w:basedOn w:val="Normal"/>
    <w:link w:val="EndNoteBibliographyChar"/>
    <w:rsid w:val="00D826E5"/>
    <w:pPr>
      <w:spacing w:after="200" w:line="240" w:lineRule="auto"/>
      <w:ind w:firstLine="0"/>
      <w:jc w:val="left"/>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D826E5"/>
    <w:rPr>
      <w:rFonts w:ascii="Calibri" w:eastAsiaTheme="minorHAnsi" w:hAnsi="Calibri" w:cstheme="minorBidi"/>
      <w:noProof/>
      <w:sz w:val="22"/>
      <w:szCs w:val="22"/>
      <w:lang w:val="en-US" w:eastAsia="en-US"/>
    </w:rPr>
  </w:style>
  <w:style w:type="paragraph" w:customStyle="1" w:styleId="Abstract">
    <w:name w:val="Abstract"/>
    <w:basedOn w:val="Normal"/>
    <w:link w:val="AbstractChar"/>
    <w:qFormat/>
    <w:rsid w:val="00D70209"/>
    <w:pPr>
      <w:spacing w:line="276" w:lineRule="auto"/>
      <w:ind w:firstLine="284"/>
    </w:pPr>
  </w:style>
  <w:style w:type="paragraph" w:styleId="Caption">
    <w:name w:val="caption"/>
    <w:basedOn w:val="Normal"/>
    <w:next w:val="Normal"/>
    <w:unhideWhenUsed/>
    <w:qFormat/>
    <w:rsid w:val="00B05AF5"/>
    <w:pPr>
      <w:spacing w:after="200" w:line="240" w:lineRule="auto"/>
      <w:ind w:firstLine="0"/>
      <w:jc w:val="center"/>
    </w:pPr>
    <w:rPr>
      <w:bCs/>
      <w:i/>
      <w:szCs w:val="18"/>
    </w:rPr>
  </w:style>
  <w:style w:type="character" w:customStyle="1" w:styleId="AbstractChar">
    <w:name w:val="Abstract Char"/>
    <w:basedOn w:val="DefaultParagraphFont"/>
    <w:link w:val="Abstract"/>
    <w:rsid w:val="00D70209"/>
    <w:rPr>
      <w:sz w:val="24"/>
      <w:szCs w:val="24"/>
      <w:lang w:val="en-GB" w:eastAsia="en-GB"/>
    </w:rPr>
  </w:style>
  <w:style w:type="paragraph" w:styleId="Subtitle">
    <w:name w:val="Subtitle"/>
    <w:basedOn w:val="Normal"/>
    <w:next w:val="Normal"/>
    <w:link w:val="SubtitleChar"/>
    <w:qFormat/>
    <w:rsid w:val="004D7A01"/>
    <w:pPr>
      <w:numPr>
        <w:ilvl w:val="1"/>
      </w:numPr>
      <w:spacing w:line="240" w:lineRule="auto"/>
      <w:ind w:firstLine="426"/>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rsid w:val="004D7A01"/>
    <w:rPr>
      <w:rFonts w:asciiTheme="majorHAnsi" w:eastAsiaTheme="majorEastAsia" w:hAnsiTheme="majorHAnsi" w:cstheme="majorBidi"/>
      <w:i/>
      <w:iCs/>
      <w:spacing w:val="15"/>
      <w:sz w:val="24"/>
      <w:szCs w:val="24"/>
      <w:lang w:val="en-GB" w:eastAsia="en-GB"/>
    </w:rPr>
  </w:style>
  <w:style w:type="paragraph" w:styleId="Footer">
    <w:name w:val="footer"/>
    <w:basedOn w:val="Normal"/>
    <w:link w:val="FooterChar1"/>
    <w:rsid w:val="00247237"/>
    <w:pPr>
      <w:suppressLineNumbers/>
      <w:tabs>
        <w:tab w:val="center" w:pos="4513"/>
        <w:tab w:val="right" w:pos="9026"/>
      </w:tabs>
      <w:suppressAutoHyphens/>
      <w:spacing w:line="100" w:lineRule="atLeast"/>
      <w:ind w:firstLine="425"/>
    </w:pPr>
    <w:rPr>
      <w:rFonts w:eastAsia="SimSun" w:cstheme="minorHAnsi"/>
      <w:bCs/>
      <w:kern w:val="1"/>
      <w:sz w:val="22"/>
      <w:szCs w:val="22"/>
      <w:lang w:val="en-US" w:eastAsia="en-US"/>
    </w:rPr>
  </w:style>
  <w:style w:type="character" w:customStyle="1" w:styleId="FooterChar">
    <w:name w:val="Footer Char"/>
    <w:basedOn w:val="DefaultParagraphFont"/>
    <w:uiPriority w:val="99"/>
    <w:rsid w:val="00247237"/>
    <w:rPr>
      <w:sz w:val="24"/>
      <w:szCs w:val="24"/>
      <w:lang w:val="en-GB" w:eastAsia="en-GB"/>
    </w:rPr>
  </w:style>
  <w:style w:type="character" w:customStyle="1" w:styleId="FooterChar1">
    <w:name w:val="Footer Char1"/>
    <w:basedOn w:val="DefaultParagraphFont"/>
    <w:link w:val="Footer"/>
    <w:rsid w:val="00247237"/>
    <w:rPr>
      <w:rFonts w:eastAsia="SimSun" w:cstheme="minorHAnsi"/>
      <w:bCs/>
      <w:kern w:val="1"/>
      <w:sz w:val="22"/>
      <w:szCs w:val="22"/>
      <w:lang w:val="en-US" w:eastAsia="en-US"/>
    </w:rPr>
  </w:style>
  <w:style w:type="character" w:styleId="IntenseEmphasis">
    <w:name w:val="Intense Emphasis"/>
    <w:uiPriority w:val="21"/>
    <w:qFormat/>
    <w:rsid w:val="00247237"/>
  </w:style>
  <w:style w:type="paragraph" w:customStyle="1" w:styleId="Maintext">
    <w:name w:val="Main text"/>
    <w:basedOn w:val="Normal"/>
    <w:link w:val="MaintextChar"/>
    <w:qFormat/>
    <w:rsid w:val="00247237"/>
    <w:pPr>
      <w:suppressAutoHyphens/>
    </w:pPr>
    <w:rPr>
      <w:rFonts w:eastAsia="SimSun" w:cstheme="minorHAnsi"/>
      <w:bCs/>
      <w:kern w:val="1"/>
      <w:sz w:val="22"/>
      <w:szCs w:val="22"/>
      <w:lang w:val="en-US" w:eastAsia="en-US"/>
    </w:rPr>
  </w:style>
  <w:style w:type="character" w:customStyle="1" w:styleId="MaintextChar">
    <w:name w:val="Main text Char"/>
    <w:basedOn w:val="DefaultParagraphFont"/>
    <w:link w:val="Maintext"/>
    <w:rsid w:val="00247237"/>
    <w:rPr>
      <w:rFonts w:eastAsia="SimSun" w:cstheme="minorHAnsi"/>
      <w:bCs/>
      <w:kern w:val="1"/>
      <w:sz w:val="22"/>
      <w:szCs w:val="22"/>
      <w:lang w:val="en-US" w:eastAsia="en-US"/>
    </w:rPr>
  </w:style>
  <w:style w:type="paragraph" w:styleId="Header">
    <w:name w:val="header"/>
    <w:basedOn w:val="Normal"/>
    <w:link w:val="HeaderChar"/>
    <w:rsid w:val="002E6E0F"/>
    <w:pPr>
      <w:tabs>
        <w:tab w:val="center" w:pos="4513"/>
        <w:tab w:val="right" w:pos="9026"/>
      </w:tabs>
      <w:spacing w:line="240" w:lineRule="auto"/>
    </w:pPr>
  </w:style>
  <w:style w:type="character" w:customStyle="1" w:styleId="HeaderChar">
    <w:name w:val="Header Char"/>
    <w:basedOn w:val="DefaultParagraphFont"/>
    <w:link w:val="Header"/>
    <w:rsid w:val="002E6E0F"/>
    <w:rPr>
      <w:sz w:val="24"/>
      <w:szCs w:val="24"/>
      <w:lang w:val="en-GB" w:eastAsia="en-GB"/>
    </w:rPr>
  </w:style>
  <w:style w:type="paragraph" w:styleId="Bibliography">
    <w:name w:val="Bibliography"/>
    <w:basedOn w:val="Normal"/>
    <w:next w:val="Normal"/>
    <w:uiPriority w:val="37"/>
    <w:semiHidden/>
    <w:unhideWhenUsed/>
    <w:rsid w:val="00A50BB2"/>
  </w:style>
  <w:style w:type="paragraph" w:styleId="NormalWeb">
    <w:name w:val="Normal (Web)"/>
    <w:basedOn w:val="Normal"/>
    <w:uiPriority w:val="99"/>
    <w:unhideWhenUsed/>
    <w:rsid w:val="00B71E52"/>
    <w:pPr>
      <w:spacing w:before="100" w:beforeAutospacing="1" w:after="100" w:afterAutospacing="1" w:line="240" w:lineRule="auto"/>
      <w:ind w:firstLine="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4330">
      <w:bodyDiv w:val="1"/>
      <w:marLeft w:val="0"/>
      <w:marRight w:val="0"/>
      <w:marTop w:val="0"/>
      <w:marBottom w:val="0"/>
      <w:divBdr>
        <w:top w:val="none" w:sz="0" w:space="0" w:color="auto"/>
        <w:left w:val="none" w:sz="0" w:space="0" w:color="auto"/>
        <w:bottom w:val="none" w:sz="0" w:space="0" w:color="auto"/>
        <w:right w:val="none" w:sz="0" w:space="0" w:color="auto"/>
      </w:divBdr>
    </w:div>
    <w:div w:id="92895834">
      <w:bodyDiv w:val="1"/>
      <w:marLeft w:val="0"/>
      <w:marRight w:val="0"/>
      <w:marTop w:val="0"/>
      <w:marBottom w:val="0"/>
      <w:divBdr>
        <w:top w:val="none" w:sz="0" w:space="0" w:color="auto"/>
        <w:left w:val="none" w:sz="0" w:space="0" w:color="auto"/>
        <w:bottom w:val="none" w:sz="0" w:space="0" w:color="auto"/>
        <w:right w:val="none" w:sz="0" w:space="0" w:color="auto"/>
      </w:divBdr>
    </w:div>
    <w:div w:id="110705717">
      <w:bodyDiv w:val="1"/>
      <w:marLeft w:val="0"/>
      <w:marRight w:val="0"/>
      <w:marTop w:val="0"/>
      <w:marBottom w:val="0"/>
      <w:divBdr>
        <w:top w:val="none" w:sz="0" w:space="0" w:color="auto"/>
        <w:left w:val="none" w:sz="0" w:space="0" w:color="auto"/>
        <w:bottom w:val="none" w:sz="0" w:space="0" w:color="auto"/>
        <w:right w:val="none" w:sz="0" w:space="0" w:color="auto"/>
      </w:divBdr>
      <w:divsChild>
        <w:div w:id="1616866428">
          <w:marLeft w:val="0"/>
          <w:marRight w:val="0"/>
          <w:marTop w:val="0"/>
          <w:marBottom w:val="0"/>
          <w:divBdr>
            <w:top w:val="none" w:sz="0" w:space="0" w:color="auto"/>
            <w:left w:val="none" w:sz="0" w:space="0" w:color="auto"/>
            <w:bottom w:val="none" w:sz="0" w:space="0" w:color="auto"/>
            <w:right w:val="none" w:sz="0" w:space="0" w:color="auto"/>
          </w:divBdr>
        </w:div>
        <w:div w:id="1727801440">
          <w:marLeft w:val="0"/>
          <w:marRight w:val="0"/>
          <w:marTop w:val="0"/>
          <w:marBottom w:val="0"/>
          <w:divBdr>
            <w:top w:val="none" w:sz="0" w:space="0" w:color="auto"/>
            <w:left w:val="none" w:sz="0" w:space="0" w:color="auto"/>
            <w:bottom w:val="none" w:sz="0" w:space="0" w:color="auto"/>
            <w:right w:val="none" w:sz="0" w:space="0" w:color="auto"/>
          </w:divBdr>
        </w:div>
        <w:div w:id="1845826874">
          <w:marLeft w:val="0"/>
          <w:marRight w:val="0"/>
          <w:marTop w:val="0"/>
          <w:marBottom w:val="0"/>
          <w:divBdr>
            <w:top w:val="none" w:sz="0" w:space="0" w:color="auto"/>
            <w:left w:val="none" w:sz="0" w:space="0" w:color="auto"/>
            <w:bottom w:val="none" w:sz="0" w:space="0" w:color="auto"/>
            <w:right w:val="none" w:sz="0" w:space="0" w:color="auto"/>
          </w:divBdr>
        </w:div>
        <w:div w:id="1350445299">
          <w:marLeft w:val="0"/>
          <w:marRight w:val="0"/>
          <w:marTop w:val="0"/>
          <w:marBottom w:val="0"/>
          <w:divBdr>
            <w:top w:val="none" w:sz="0" w:space="0" w:color="auto"/>
            <w:left w:val="none" w:sz="0" w:space="0" w:color="auto"/>
            <w:bottom w:val="none" w:sz="0" w:space="0" w:color="auto"/>
            <w:right w:val="none" w:sz="0" w:space="0" w:color="auto"/>
          </w:divBdr>
        </w:div>
        <w:div w:id="1995986449">
          <w:marLeft w:val="0"/>
          <w:marRight w:val="0"/>
          <w:marTop w:val="0"/>
          <w:marBottom w:val="0"/>
          <w:divBdr>
            <w:top w:val="none" w:sz="0" w:space="0" w:color="auto"/>
            <w:left w:val="none" w:sz="0" w:space="0" w:color="auto"/>
            <w:bottom w:val="none" w:sz="0" w:space="0" w:color="auto"/>
            <w:right w:val="none" w:sz="0" w:space="0" w:color="auto"/>
          </w:divBdr>
        </w:div>
        <w:div w:id="1646159345">
          <w:marLeft w:val="0"/>
          <w:marRight w:val="0"/>
          <w:marTop w:val="0"/>
          <w:marBottom w:val="0"/>
          <w:divBdr>
            <w:top w:val="none" w:sz="0" w:space="0" w:color="auto"/>
            <w:left w:val="none" w:sz="0" w:space="0" w:color="auto"/>
            <w:bottom w:val="none" w:sz="0" w:space="0" w:color="auto"/>
            <w:right w:val="none" w:sz="0" w:space="0" w:color="auto"/>
          </w:divBdr>
        </w:div>
      </w:divsChild>
    </w:div>
    <w:div w:id="123237856">
      <w:bodyDiv w:val="1"/>
      <w:marLeft w:val="0"/>
      <w:marRight w:val="0"/>
      <w:marTop w:val="0"/>
      <w:marBottom w:val="0"/>
      <w:divBdr>
        <w:top w:val="none" w:sz="0" w:space="0" w:color="auto"/>
        <w:left w:val="none" w:sz="0" w:space="0" w:color="auto"/>
        <w:bottom w:val="none" w:sz="0" w:space="0" w:color="auto"/>
        <w:right w:val="none" w:sz="0" w:space="0" w:color="auto"/>
      </w:divBdr>
    </w:div>
    <w:div w:id="185141533">
      <w:bodyDiv w:val="1"/>
      <w:marLeft w:val="0"/>
      <w:marRight w:val="0"/>
      <w:marTop w:val="0"/>
      <w:marBottom w:val="0"/>
      <w:divBdr>
        <w:top w:val="none" w:sz="0" w:space="0" w:color="auto"/>
        <w:left w:val="none" w:sz="0" w:space="0" w:color="auto"/>
        <w:bottom w:val="none" w:sz="0" w:space="0" w:color="auto"/>
        <w:right w:val="none" w:sz="0" w:space="0" w:color="auto"/>
      </w:divBdr>
    </w:div>
    <w:div w:id="241258963">
      <w:bodyDiv w:val="1"/>
      <w:marLeft w:val="0"/>
      <w:marRight w:val="0"/>
      <w:marTop w:val="0"/>
      <w:marBottom w:val="0"/>
      <w:divBdr>
        <w:top w:val="none" w:sz="0" w:space="0" w:color="auto"/>
        <w:left w:val="none" w:sz="0" w:space="0" w:color="auto"/>
        <w:bottom w:val="none" w:sz="0" w:space="0" w:color="auto"/>
        <w:right w:val="none" w:sz="0" w:space="0" w:color="auto"/>
      </w:divBdr>
    </w:div>
    <w:div w:id="264315725">
      <w:bodyDiv w:val="1"/>
      <w:marLeft w:val="0"/>
      <w:marRight w:val="0"/>
      <w:marTop w:val="0"/>
      <w:marBottom w:val="0"/>
      <w:divBdr>
        <w:top w:val="none" w:sz="0" w:space="0" w:color="auto"/>
        <w:left w:val="none" w:sz="0" w:space="0" w:color="auto"/>
        <w:bottom w:val="none" w:sz="0" w:space="0" w:color="auto"/>
        <w:right w:val="none" w:sz="0" w:space="0" w:color="auto"/>
      </w:divBdr>
    </w:div>
    <w:div w:id="278608667">
      <w:bodyDiv w:val="1"/>
      <w:marLeft w:val="0"/>
      <w:marRight w:val="0"/>
      <w:marTop w:val="0"/>
      <w:marBottom w:val="0"/>
      <w:divBdr>
        <w:top w:val="none" w:sz="0" w:space="0" w:color="auto"/>
        <w:left w:val="none" w:sz="0" w:space="0" w:color="auto"/>
        <w:bottom w:val="none" w:sz="0" w:space="0" w:color="auto"/>
        <w:right w:val="none" w:sz="0" w:space="0" w:color="auto"/>
      </w:divBdr>
    </w:div>
    <w:div w:id="346635986">
      <w:bodyDiv w:val="1"/>
      <w:marLeft w:val="0"/>
      <w:marRight w:val="0"/>
      <w:marTop w:val="0"/>
      <w:marBottom w:val="0"/>
      <w:divBdr>
        <w:top w:val="none" w:sz="0" w:space="0" w:color="auto"/>
        <w:left w:val="none" w:sz="0" w:space="0" w:color="auto"/>
        <w:bottom w:val="none" w:sz="0" w:space="0" w:color="auto"/>
        <w:right w:val="none" w:sz="0" w:space="0" w:color="auto"/>
      </w:divBdr>
    </w:div>
    <w:div w:id="378868993">
      <w:bodyDiv w:val="1"/>
      <w:marLeft w:val="0"/>
      <w:marRight w:val="0"/>
      <w:marTop w:val="0"/>
      <w:marBottom w:val="0"/>
      <w:divBdr>
        <w:top w:val="none" w:sz="0" w:space="0" w:color="auto"/>
        <w:left w:val="none" w:sz="0" w:space="0" w:color="auto"/>
        <w:bottom w:val="none" w:sz="0" w:space="0" w:color="auto"/>
        <w:right w:val="none" w:sz="0" w:space="0" w:color="auto"/>
      </w:divBdr>
    </w:div>
    <w:div w:id="404956128">
      <w:bodyDiv w:val="1"/>
      <w:marLeft w:val="0"/>
      <w:marRight w:val="0"/>
      <w:marTop w:val="0"/>
      <w:marBottom w:val="0"/>
      <w:divBdr>
        <w:top w:val="none" w:sz="0" w:space="0" w:color="auto"/>
        <w:left w:val="none" w:sz="0" w:space="0" w:color="auto"/>
        <w:bottom w:val="none" w:sz="0" w:space="0" w:color="auto"/>
        <w:right w:val="none" w:sz="0" w:space="0" w:color="auto"/>
      </w:divBdr>
      <w:divsChild>
        <w:div w:id="1758017037">
          <w:marLeft w:val="0"/>
          <w:marRight w:val="0"/>
          <w:marTop w:val="0"/>
          <w:marBottom w:val="0"/>
          <w:divBdr>
            <w:top w:val="none" w:sz="0" w:space="0" w:color="auto"/>
            <w:left w:val="none" w:sz="0" w:space="0" w:color="auto"/>
            <w:bottom w:val="none" w:sz="0" w:space="0" w:color="auto"/>
            <w:right w:val="none" w:sz="0" w:space="0" w:color="auto"/>
          </w:divBdr>
        </w:div>
        <w:div w:id="782380185">
          <w:marLeft w:val="0"/>
          <w:marRight w:val="0"/>
          <w:marTop w:val="0"/>
          <w:marBottom w:val="0"/>
          <w:divBdr>
            <w:top w:val="none" w:sz="0" w:space="0" w:color="auto"/>
            <w:left w:val="none" w:sz="0" w:space="0" w:color="auto"/>
            <w:bottom w:val="none" w:sz="0" w:space="0" w:color="auto"/>
            <w:right w:val="none" w:sz="0" w:space="0" w:color="auto"/>
          </w:divBdr>
        </w:div>
        <w:div w:id="240677720">
          <w:marLeft w:val="0"/>
          <w:marRight w:val="0"/>
          <w:marTop w:val="0"/>
          <w:marBottom w:val="0"/>
          <w:divBdr>
            <w:top w:val="none" w:sz="0" w:space="0" w:color="auto"/>
            <w:left w:val="none" w:sz="0" w:space="0" w:color="auto"/>
            <w:bottom w:val="none" w:sz="0" w:space="0" w:color="auto"/>
            <w:right w:val="none" w:sz="0" w:space="0" w:color="auto"/>
          </w:divBdr>
        </w:div>
        <w:div w:id="761803897">
          <w:marLeft w:val="0"/>
          <w:marRight w:val="0"/>
          <w:marTop w:val="0"/>
          <w:marBottom w:val="0"/>
          <w:divBdr>
            <w:top w:val="none" w:sz="0" w:space="0" w:color="auto"/>
            <w:left w:val="none" w:sz="0" w:space="0" w:color="auto"/>
            <w:bottom w:val="none" w:sz="0" w:space="0" w:color="auto"/>
            <w:right w:val="none" w:sz="0" w:space="0" w:color="auto"/>
          </w:divBdr>
        </w:div>
        <w:div w:id="709190489">
          <w:marLeft w:val="0"/>
          <w:marRight w:val="0"/>
          <w:marTop w:val="0"/>
          <w:marBottom w:val="0"/>
          <w:divBdr>
            <w:top w:val="none" w:sz="0" w:space="0" w:color="auto"/>
            <w:left w:val="none" w:sz="0" w:space="0" w:color="auto"/>
            <w:bottom w:val="none" w:sz="0" w:space="0" w:color="auto"/>
            <w:right w:val="none" w:sz="0" w:space="0" w:color="auto"/>
          </w:divBdr>
        </w:div>
        <w:div w:id="1608351476">
          <w:marLeft w:val="0"/>
          <w:marRight w:val="0"/>
          <w:marTop w:val="0"/>
          <w:marBottom w:val="0"/>
          <w:divBdr>
            <w:top w:val="none" w:sz="0" w:space="0" w:color="auto"/>
            <w:left w:val="none" w:sz="0" w:space="0" w:color="auto"/>
            <w:bottom w:val="none" w:sz="0" w:space="0" w:color="auto"/>
            <w:right w:val="none" w:sz="0" w:space="0" w:color="auto"/>
          </w:divBdr>
        </w:div>
        <w:div w:id="8679257">
          <w:marLeft w:val="0"/>
          <w:marRight w:val="0"/>
          <w:marTop w:val="0"/>
          <w:marBottom w:val="0"/>
          <w:divBdr>
            <w:top w:val="none" w:sz="0" w:space="0" w:color="auto"/>
            <w:left w:val="none" w:sz="0" w:space="0" w:color="auto"/>
            <w:bottom w:val="none" w:sz="0" w:space="0" w:color="auto"/>
            <w:right w:val="none" w:sz="0" w:space="0" w:color="auto"/>
          </w:divBdr>
        </w:div>
        <w:div w:id="1166744083">
          <w:marLeft w:val="0"/>
          <w:marRight w:val="0"/>
          <w:marTop w:val="0"/>
          <w:marBottom w:val="0"/>
          <w:divBdr>
            <w:top w:val="none" w:sz="0" w:space="0" w:color="auto"/>
            <w:left w:val="none" w:sz="0" w:space="0" w:color="auto"/>
            <w:bottom w:val="none" w:sz="0" w:space="0" w:color="auto"/>
            <w:right w:val="none" w:sz="0" w:space="0" w:color="auto"/>
          </w:divBdr>
        </w:div>
        <w:div w:id="1558472510">
          <w:marLeft w:val="0"/>
          <w:marRight w:val="0"/>
          <w:marTop w:val="0"/>
          <w:marBottom w:val="0"/>
          <w:divBdr>
            <w:top w:val="none" w:sz="0" w:space="0" w:color="auto"/>
            <w:left w:val="none" w:sz="0" w:space="0" w:color="auto"/>
            <w:bottom w:val="none" w:sz="0" w:space="0" w:color="auto"/>
            <w:right w:val="none" w:sz="0" w:space="0" w:color="auto"/>
          </w:divBdr>
        </w:div>
        <w:div w:id="1284925936">
          <w:marLeft w:val="0"/>
          <w:marRight w:val="0"/>
          <w:marTop w:val="0"/>
          <w:marBottom w:val="0"/>
          <w:divBdr>
            <w:top w:val="none" w:sz="0" w:space="0" w:color="auto"/>
            <w:left w:val="none" w:sz="0" w:space="0" w:color="auto"/>
            <w:bottom w:val="none" w:sz="0" w:space="0" w:color="auto"/>
            <w:right w:val="none" w:sz="0" w:space="0" w:color="auto"/>
          </w:divBdr>
        </w:div>
        <w:div w:id="1211068641">
          <w:marLeft w:val="0"/>
          <w:marRight w:val="0"/>
          <w:marTop w:val="0"/>
          <w:marBottom w:val="0"/>
          <w:divBdr>
            <w:top w:val="none" w:sz="0" w:space="0" w:color="auto"/>
            <w:left w:val="none" w:sz="0" w:space="0" w:color="auto"/>
            <w:bottom w:val="none" w:sz="0" w:space="0" w:color="auto"/>
            <w:right w:val="none" w:sz="0" w:space="0" w:color="auto"/>
          </w:divBdr>
        </w:div>
      </w:divsChild>
    </w:div>
    <w:div w:id="430125252">
      <w:bodyDiv w:val="1"/>
      <w:marLeft w:val="0"/>
      <w:marRight w:val="0"/>
      <w:marTop w:val="0"/>
      <w:marBottom w:val="0"/>
      <w:divBdr>
        <w:top w:val="none" w:sz="0" w:space="0" w:color="auto"/>
        <w:left w:val="none" w:sz="0" w:space="0" w:color="auto"/>
        <w:bottom w:val="none" w:sz="0" w:space="0" w:color="auto"/>
        <w:right w:val="none" w:sz="0" w:space="0" w:color="auto"/>
      </w:divBdr>
    </w:div>
    <w:div w:id="473185392">
      <w:bodyDiv w:val="1"/>
      <w:marLeft w:val="0"/>
      <w:marRight w:val="0"/>
      <w:marTop w:val="0"/>
      <w:marBottom w:val="0"/>
      <w:divBdr>
        <w:top w:val="none" w:sz="0" w:space="0" w:color="auto"/>
        <w:left w:val="none" w:sz="0" w:space="0" w:color="auto"/>
        <w:bottom w:val="none" w:sz="0" w:space="0" w:color="auto"/>
        <w:right w:val="none" w:sz="0" w:space="0" w:color="auto"/>
      </w:divBdr>
    </w:div>
    <w:div w:id="666713218">
      <w:bodyDiv w:val="1"/>
      <w:marLeft w:val="0"/>
      <w:marRight w:val="0"/>
      <w:marTop w:val="0"/>
      <w:marBottom w:val="0"/>
      <w:divBdr>
        <w:top w:val="none" w:sz="0" w:space="0" w:color="auto"/>
        <w:left w:val="none" w:sz="0" w:space="0" w:color="auto"/>
        <w:bottom w:val="none" w:sz="0" w:space="0" w:color="auto"/>
        <w:right w:val="none" w:sz="0" w:space="0" w:color="auto"/>
      </w:divBdr>
    </w:div>
    <w:div w:id="774442332">
      <w:bodyDiv w:val="1"/>
      <w:marLeft w:val="0"/>
      <w:marRight w:val="0"/>
      <w:marTop w:val="0"/>
      <w:marBottom w:val="0"/>
      <w:divBdr>
        <w:top w:val="none" w:sz="0" w:space="0" w:color="auto"/>
        <w:left w:val="none" w:sz="0" w:space="0" w:color="auto"/>
        <w:bottom w:val="none" w:sz="0" w:space="0" w:color="auto"/>
        <w:right w:val="none" w:sz="0" w:space="0" w:color="auto"/>
      </w:divBdr>
      <w:divsChild>
        <w:div w:id="1864899588">
          <w:marLeft w:val="0"/>
          <w:marRight w:val="0"/>
          <w:marTop w:val="0"/>
          <w:marBottom w:val="0"/>
          <w:divBdr>
            <w:top w:val="none" w:sz="0" w:space="0" w:color="auto"/>
            <w:left w:val="none" w:sz="0" w:space="0" w:color="auto"/>
            <w:bottom w:val="none" w:sz="0" w:space="0" w:color="auto"/>
            <w:right w:val="none" w:sz="0" w:space="0" w:color="auto"/>
          </w:divBdr>
        </w:div>
        <w:div w:id="1438481706">
          <w:marLeft w:val="0"/>
          <w:marRight w:val="0"/>
          <w:marTop w:val="0"/>
          <w:marBottom w:val="0"/>
          <w:divBdr>
            <w:top w:val="none" w:sz="0" w:space="0" w:color="auto"/>
            <w:left w:val="none" w:sz="0" w:space="0" w:color="auto"/>
            <w:bottom w:val="none" w:sz="0" w:space="0" w:color="auto"/>
            <w:right w:val="none" w:sz="0" w:space="0" w:color="auto"/>
          </w:divBdr>
        </w:div>
        <w:div w:id="1566063889">
          <w:marLeft w:val="0"/>
          <w:marRight w:val="0"/>
          <w:marTop w:val="0"/>
          <w:marBottom w:val="0"/>
          <w:divBdr>
            <w:top w:val="none" w:sz="0" w:space="0" w:color="auto"/>
            <w:left w:val="none" w:sz="0" w:space="0" w:color="auto"/>
            <w:bottom w:val="none" w:sz="0" w:space="0" w:color="auto"/>
            <w:right w:val="none" w:sz="0" w:space="0" w:color="auto"/>
          </w:divBdr>
        </w:div>
        <w:div w:id="1355766168">
          <w:marLeft w:val="0"/>
          <w:marRight w:val="0"/>
          <w:marTop w:val="0"/>
          <w:marBottom w:val="0"/>
          <w:divBdr>
            <w:top w:val="none" w:sz="0" w:space="0" w:color="auto"/>
            <w:left w:val="none" w:sz="0" w:space="0" w:color="auto"/>
            <w:bottom w:val="none" w:sz="0" w:space="0" w:color="auto"/>
            <w:right w:val="none" w:sz="0" w:space="0" w:color="auto"/>
          </w:divBdr>
        </w:div>
        <w:div w:id="1219704929">
          <w:marLeft w:val="0"/>
          <w:marRight w:val="0"/>
          <w:marTop w:val="0"/>
          <w:marBottom w:val="0"/>
          <w:divBdr>
            <w:top w:val="none" w:sz="0" w:space="0" w:color="auto"/>
            <w:left w:val="none" w:sz="0" w:space="0" w:color="auto"/>
            <w:bottom w:val="none" w:sz="0" w:space="0" w:color="auto"/>
            <w:right w:val="none" w:sz="0" w:space="0" w:color="auto"/>
          </w:divBdr>
        </w:div>
        <w:div w:id="133067276">
          <w:marLeft w:val="0"/>
          <w:marRight w:val="0"/>
          <w:marTop w:val="0"/>
          <w:marBottom w:val="0"/>
          <w:divBdr>
            <w:top w:val="none" w:sz="0" w:space="0" w:color="auto"/>
            <w:left w:val="none" w:sz="0" w:space="0" w:color="auto"/>
            <w:bottom w:val="none" w:sz="0" w:space="0" w:color="auto"/>
            <w:right w:val="none" w:sz="0" w:space="0" w:color="auto"/>
          </w:divBdr>
        </w:div>
        <w:div w:id="1374159573">
          <w:marLeft w:val="0"/>
          <w:marRight w:val="0"/>
          <w:marTop w:val="0"/>
          <w:marBottom w:val="0"/>
          <w:divBdr>
            <w:top w:val="none" w:sz="0" w:space="0" w:color="auto"/>
            <w:left w:val="none" w:sz="0" w:space="0" w:color="auto"/>
            <w:bottom w:val="none" w:sz="0" w:space="0" w:color="auto"/>
            <w:right w:val="none" w:sz="0" w:space="0" w:color="auto"/>
          </w:divBdr>
        </w:div>
        <w:div w:id="491794119">
          <w:marLeft w:val="0"/>
          <w:marRight w:val="0"/>
          <w:marTop w:val="0"/>
          <w:marBottom w:val="0"/>
          <w:divBdr>
            <w:top w:val="none" w:sz="0" w:space="0" w:color="auto"/>
            <w:left w:val="none" w:sz="0" w:space="0" w:color="auto"/>
            <w:bottom w:val="none" w:sz="0" w:space="0" w:color="auto"/>
            <w:right w:val="none" w:sz="0" w:space="0" w:color="auto"/>
          </w:divBdr>
        </w:div>
        <w:div w:id="316886139">
          <w:marLeft w:val="0"/>
          <w:marRight w:val="0"/>
          <w:marTop w:val="0"/>
          <w:marBottom w:val="0"/>
          <w:divBdr>
            <w:top w:val="none" w:sz="0" w:space="0" w:color="auto"/>
            <w:left w:val="none" w:sz="0" w:space="0" w:color="auto"/>
            <w:bottom w:val="none" w:sz="0" w:space="0" w:color="auto"/>
            <w:right w:val="none" w:sz="0" w:space="0" w:color="auto"/>
          </w:divBdr>
        </w:div>
        <w:div w:id="573861983">
          <w:marLeft w:val="0"/>
          <w:marRight w:val="0"/>
          <w:marTop w:val="0"/>
          <w:marBottom w:val="0"/>
          <w:divBdr>
            <w:top w:val="none" w:sz="0" w:space="0" w:color="auto"/>
            <w:left w:val="none" w:sz="0" w:space="0" w:color="auto"/>
            <w:bottom w:val="none" w:sz="0" w:space="0" w:color="auto"/>
            <w:right w:val="none" w:sz="0" w:space="0" w:color="auto"/>
          </w:divBdr>
        </w:div>
        <w:div w:id="599028976">
          <w:marLeft w:val="0"/>
          <w:marRight w:val="0"/>
          <w:marTop w:val="0"/>
          <w:marBottom w:val="0"/>
          <w:divBdr>
            <w:top w:val="none" w:sz="0" w:space="0" w:color="auto"/>
            <w:left w:val="none" w:sz="0" w:space="0" w:color="auto"/>
            <w:bottom w:val="none" w:sz="0" w:space="0" w:color="auto"/>
            <w:right w:val="none" w:sz="0" w:space="0" w:color="auto"/>
          </w:divBdr>
        </w:div>
        <w:div w:id="1184051762">
          <w:marLeft w:val="0"/>
          <w:marRight w:val="0"/>
          <w:marTop w:val="0"/>
          <w:marBottom w:val="0"/>
          <w:divBdr>
            <w:top w:val="none" w:sz="0" w:space="0" w:color="auto"/>
            <w:left w:val="none" w:sz="0" w:space="0" w:color="auto"/>
            <w:bottom w:val="none" w:sz="0" w:space="0" w:color="auto"/>
            <w:right w:val="none" w:sz="0" w:space="0" w:color="auto"/>
          </w:divBdr>
        </w:div>
        <w:div w:id="1035884638">
          <w:marLeft w:val="0"/>
          <w:marRight w:val="0"/>
          <w:marTop w:val="0"/>
          <w:marBottom w:val="0"/>
          <w:divBdr>
            <w:top w:val="none" w:sz="0" w:space="0" w:color="auto"/>
            <w:left w:val="none" w:sz="0" w:space="0" w:color="auto"/>
            <w:bottom w:val="none" w:sz="0" w:space="0" w:color="auto"/>
            <w:right w:val="none" w:sz="0" w:space="0" w:color="auto"/>
          </w:divBdr>
        </w:div>
      </w:divsChild>
    </w:div>
    <w:div w:id="974679269">
      <w:bodyDiv w:val="1"/>
      <w:marLeft w:val="0"/>
      <w:marRight w:val="0"/>
      <w:marTop w:val="0"/>
      <w:marBottom w:val="0"/>
      <w:divBdr>
        <w:top w:val="none" w:sz="0" w:space="0" w:color="auto"/>
        <w:left w:val="none" w:sz="0" w:space="0" w:color="auto"/>
        <w:bottom w:val="none" w:sz="0" w:space="0" w:color="auto"/>
        <w:right w:val="none" w:sz="0" w:space="0" w:color="auto"/>
      </w:divBdr>
    </w:div>
    <w:div w:id="999120262">
      <w:bodyDiv w:val="1"/>
      <w:marLeft w:val="0"/>
      <w:marRight w:val="0"/>
      <w:marTop w:val="0"/>
      <w:marBottom w:val="0"/>
      <w:divBdr>
        <w:top w:val="none" w:sz="0" w:space="0" w:color="auto"/>
        <w:left w:val="none" w:sz="0" w:space="0" w:color="auto"/>
        <w:bottom w:val="none" w:sz="0" w:space="0" w:color="auto"/>
        <w:right w:val="none" w:sz="0" w:space="0" w:color="auto"/>
      </w:divBdr>
    </w:div>
    <w:div w:id="1110776550">
      <w:bodyDiv w:val="1"/>
      <w:marLeft w:val="0"/>
      <w:marRight w:val="0"/>
      <w:marTop w:val="0"/>
      <w:marBottom w:val="0"/>
      <w:divBdr>
        <w:top w:val="none" w:sz="0" w:space="0" w:color="auto"/>
        <w:left w:val="none" w:sz="0" w:space="0" w:color="auto"/>
        <w:bottom w:val="none" w:sz="0" w:space="0" w:color="auto"/>
        <w:right w:val="none" w:sz="0" w:space="0" w:color="auto"/>
      </w:divBdr>
    </w:div>
    <w:div w:id="1114135763">
      <w:bodyDiv w:val="1"/>
      <w:marLeft w:val="0"/>
      <w:marRight w:val="0"/>
      <w:marTop w:val="0"/>
      <w:marBottom w:val="0"/>
      <w:divBdr>
        <w:top w:val="none" w:sz="0" w:space="0" w:color="auto"/>
        <w:left w:val="none" w:sz="0" w:space="0" w:color="auto"/>
        <w:bottom w:val="none" w:sz="0" w:space="0" w:color="auto"/>
        <w:right w:val="none" w:sz="0" w:space="0" w:color="auto"/>
      </w:divBdr>
    </w:div>
    <w:div w:id="1131362890">
      <w:bodyDiv w:val="1"/>
      <w:marLeft w:val="0"/>
      <w:marRight w:val="0"/>
      <w:marTop w:val="0"/>
      <w:marBottom w:val="0"/>
      <w:divBdr>
        <w:top w:val="none" w:sz="0" w:space="0" w:color="auto"/>
        <w:left w:val="none" w:sz="0" w:space="0" w:color="auto"/>
        <w:bottom w:val="none" w:sz="0" w:space="0" w:color="auto"/>
        <w:right w:val="none" w:sz="0" w:space="0" w:color="auto"/>
      </w:divBdr>
    </w:div>
    <w:div w:id="1215658721">
      <w:bodyDiv w:val="1"/>
      <w:marLeft w:val="0"/>
      <w:marRight w:val="0"/>
      <w:marTop w:val="0"/>
      <w:marBottom w:val="0"/>
      <w:divBdr>
        <w:top w:val="none" w:sz="0" w:space="0" w:color="auto"/>
        <w:left w:val="none" w:sz="0" w:space="0" w:color="auto"/>
        <w:bottom w:val="none" w:sz="0" w:space="0" w:color="auto"/>
        <w:right w:val="none" w:sz="0" w:space="0" w:color="auto"/>
      </w:divBdr>
    </w:div>
    <w:div w:id="1256522632">
      <w:bodyDiv w:val="1"/>
      <w:marLeft w:val="0"/>
      <w:marRight w:val="0"/>
      <w:marTop w:val="0"/>
      <w:marBottom w:val="0"/>
      <w:divBdr>
        <w:top w:val="none" w:sz="0" w:space="0" w:color="auto"/>
        <w:left w:val="none" w:sz="0" w:space="0" w:color="auto"/>
        <w:bottom w:val="none" w:sz="0" w:space="0" w:color="auto"/>
        <w:right w:val="none" w:sz="0" w:space="0" w:color="auto"/>
      </w:divBdr>
      <w:divsChild>
        <w:div w:id="1857839694">
          <w:marLeft w:val="0"/>
          <w:marRight w:val="0"/>
          <w:marTop w:val="0"/>
          <w:marBottom w:val="0"/>
          <w:divBdr>
            <w:top w:val="none" w:sz="0" w:space="0" w:color="auto"/>
            <w:left w:val="none" w:sz="0" w:space="0" w:color="auto"/>
            <w:bottom w:val="none" w:sz="0" w:space="0" w:color="auto"/>
            <w:right w:val="none" w:sz="0" w:space="0" w:color="auto"/>
          </w:divBdr>
          <w:divsChild>
            <w:div w:id="1321155154">
              <w:marLeft w:val="0"/>
              <w:marRight w:val="0"/>
              <w:marTop w:val="0"/>
              <w:marBottom w:val="0"/>
              <w:divBdr>
                <w:top w:val="none" w:sz="0" w:space="0" w:color="auto"/>
                <w:left w:val="none" w:sz="0" w:space="0" w:color="auto"/>
                <w:bottom w:val="none" w:sz="0" w:space="0" w:color="auto"/>
                <w:right w:val="none" w:sz="0" w:space="0" w:color="auto"/>
              </w:divBdr>
            </w:div>
            <w:div w:id="116411884">
              <w:marLeft w:val="0"/>
              <w:marRight w:val="0"/>
              <w:marTop w:val="0"/>
              <w:marBottom w:val="0"/>
              <w:divBdr>
                <w:top w:val="none" w:sz="0" w:space="0" w:color="auto"/>
                <w:left w:val="none" w:sz="0" w:space="0" w:color="auto"/>
                <w:bottom w:val="none" w:sz="0" w:space="0" w:color="auto"/>
                <w:right w:val="none" w:sz="0" w:space="0" w:color="auto"/>
              </w:divBdr>
            </w:div>
          </w:divsChild>
        </w:div>
        <w:div w:id="1992130097">
          <w:marLeft w:val="0"/>
          <w:marRight w:val="0"/>
          <w:marTop w:val="0"/>
          <w:marBottom w:val="0"/>
          <w:divBdr>
            <w:top w:val="none" w:sz="0" w:space="0" w:color="auto"/>
            <w:left w:val="none" w:sz="0" w:space="0" w:color="auto"/>
            <w:bottom w:val="none" w:sz="0" w:space="0" w:color="auto"/>
            <w:right w:val="none" w:sz="0" w:space="0" w:color="auto"/>
          </w:divBdr>
        </w:div>
      </w:divsChild>
    </w:div>
    <w:div w:id="1269653067">
      <w:bodyDiv w:val="1"/>
      <w:marLeft w:val="0"/>
      <w:marRight w:val="0"/>
      <w:marTop w:val="0"/>
      <w:marBottom w:val="0"/>
      <w:divBdr>
        <w:top w:val="none" w:sz="0" w:space="0" w:color="auto"/>
        <w:left w:val="none" w:sz="0" w:space="0" w:color="auto"/>
        <w:bottom w:val="none" w:sz="0" w:space="0" w:color="auto"/>
        <w:right w:val="none" w:sz="0" w:space="0" w:color="auto"/>
      </w:divBdr>
    </w:div>
    <w:div w:id="1331330497">
      <w:bodyDiv w:val="1"/>
      <w:marLeft w:val="0"/>
      <w:marRight w:val="0"/>
      <w:marTop w:val="0"/>
      <w:marBottom w:val="0"/>
      <w:divBdr>
        <w:top w:val="none" w:sz="0" w:space="0" w:color="auto"/>
        <w:left w:val="none" w:sz="0" w:space="0" w:color="auto"/>
        <w:bottom w:val="none" w:sz="0" w:space="0" w:color="auto"/>
        <w:right w:val="none" w:sz="0" w:space="0" w:color="auto"/>
      </w:divBdr>
    </w:div>
    <w:div w:id="1336416767">
      <w:bodyDiv w:val="1"/>
      <w:marLeft w:val="0"/>
      <w:marRight w:val="0"/>
      <w:marTop w:val="0"/>
      <w:marBottom w:val="0"/>
      <w:divBdr>
        <w:top w:val="none" w:sz="0" w:space="0" w:color="auto"/>
        <w:left w:val="none" w:sz="0" w:space="0" w:color="auto"/>
        <w:bottom w:val="none" w:sz="0" w:space="0" w:color="auto"/>
        <w:right w:val="none" w:sz="0" w:space="0" w:color="auto"/>
      </w:divBdr>
    </w:div>
    <w:div w:id="1399942526">
      <w:bodyDiv w:val="1"/>
      <w:marLeft w:val="0"/>
      <w:marRight w:val="0"/>
      <w:marTop w:val="0"/>
      <w:marBottom w:val="0"/>
      <w:divBdr>
        <w:top w:val="none" w:sz="0" w:space="0" w:color="auto"/>
        <w:left w:val="none" w:sz="0" w:space="0" w:color="auto"/>
        <w:bottom w:val="none" w:sz="0" w:space="0" w:color="auto"/>
        <w:right w:val="none" w:sz="0" w:space="0" w:color="auto"/>
      </w:divBdr>
    </w:div>
    <w:div w:id="1464349710">
      <w:bodyDiv w:val="1"/>
      <w:marLeft w:val="0"/>
      <w:marRight w:val="0"/>
      <w:marTop w:val="0"/>
      <w:marBottom w:val="0"/>
      <w:divBdr>
        <w:top w:val="none" w:sz="0" w:space="0" w:color="auto"/>
        <w:left w:val="none" w:sz="0" w:space="0" w:color="auto"/>
        <w:bottom w:val="none" w:sz="0" w:space="0" w:color="auto"/>
        <w:right w:val="none" w:sz="0" w:space="0" w:color="auto"/>
      </w:divBdr>
      <w:divsChild>
        <w:div w:id="2020496593">
          <w:marLeft w:val="0"/>
          <w:marRight w:val="0"/>
          <w:marTop w:val="0"/>
          <w:marBottom w:val="0"/>
          <w:divBdr>
            <w:top w:val="none" w:sz="0" w:space="0" w:color="auto"/>
            <w:left w:val="none" w:sz="0" w:space="0" w:color="auto"/>
            <w:bottom w:val="none" w:sz="0" w:space="0" w:color="auto"/>
            <w:right w:val="none" w:sz="0" w:space="0" w:color="auto"/>
          </w:divBdr>
        </w:div>
        <w:div w:id="1871720982">
          <w:marLeft w:val="0"/>
          <w:marRight w:val="0"/>
          <w:marTop w:val="0"/>
          <w:marBottom w:val="0"/>
          <w:divBdr>
            <w:top w:val="none" w:sz="0" w:space="0" w:color="auto"/>
            <w:left w:val="none" w:sz="0" w:space="0" w:color="auto"/>
            <w:bottom w:val="none" w:sz="0" w:space="0" w:color="auto"/>
            <w:right w:val="none" w:sz="0" w:space="0" w:color="auto"/>
          </w:divBdr>
        </w:div>
        <w:div w:id="2128355028">
          <w:marLeft w:val="0"/>
          <w:marRight w:val="0"/>
          <w:marTop w:val="0"/>
          <w:marBottom w:val="0"/>
          <w:divBdr>
            <w:top w:val="none" w:sz="0" w:space="0" w:color="auto"/>
            <w:left w:val="none" w:sz="0" w:space="0" w:color="auto"/>
            <w:bottom w:val="none" w:sz="0" w:space="0" w:color="auto"/>
            <w:right w:val="none" w:sz="0" w:space="0" w:color="auto"/>
          </w:divBdr>
        </w:div>
        <w:div w:id="1161432843">
          <w:marLeft w:val="0"/>
          <w:marRight w:val="0"/>
          <w:marTop w:val="0"/>
          <w:marBottom w:val="0"/>
          <w:divBdr>
            <w:top w:val="none" w:sz="0" w:space="0" w:color="auto"/>
            <w:left w:val="none" w:sz="0" w:space="0" w:color="auto"/>
            <w:bottom w:val="none" w:sz="0" w:space="0" w:color="auto"/>
            <w:right w:val="none" w:sz="0" w:space="0" w:color="auto"/>
          </w:divBdr>
        </w:div>
        <w:div w:id="362101720">
          <w:marLeft w:val="0"/>
          <w:marRight w:val="0"/>
          <w:marTop w:val="0"/>
          <w:marBottom w:val="0"/>
          <w:divBdr>
            <w:top w:val="none" w:sz="0" w:space="0" w:color="auto"/>
            <w:left w:val="none" w:sz="0" w:space="0" w:color="auto"/>
            <w:bottom w:val="none" w:sz="0" w:space="0" w:color="auto"/>
            <w:right w:val="none" w:sz="0" w:space="0" w:color="auto"/>
          </w:divBdr>
        </w:div>
        <w:div w:id="1873106846">
          <w:marLeft w:val="0"/>
          <w:marRight w:val="0"/>
          <w:marTop w:val="0"/>
          <w:marBottom w:val="0"/>
          <w:divBdr>
            <w:top w:val="none" w:sz="0" w:space="0" w:color="auto"/>
            <w:left w:val="none" w:sz="0" w:space="0" w:color="auto"/>
            <w:bottom w:val="none" w:sz="0" w:space="0" w:color="auto"/>
            <w:right w:val="none" w:sz="0" w:space="0" w:color="auto"/>
          </w:divBdr>
        </w:div>
        <w:div w:id="1993214226">
          <w:marLeft w:val="0"/>
          <w:marRight w:val="0"/>
          <w:marTop w:val="0"/>
          <w:marBottom w:val="0"/>
          <w:divBdr>
            <w:top w:val="none" w:sz="0" w:space="0" w:color="auto"/>
            <w:left w:val="none" w:sz="0" w:space="0" w:color="auto"/>
            <w:bottom w:val="none" w:sz="0" w:space="0" w:color="auto"/>
            <w:right w:val="none" w:sz="0" w:space="0" w:color="auto"/>
          </w:divBdr>
        </w:div>
        <w:div w:id="1875775942">
          <w:marLeft w:val="0"/>
          <w:marRight w:val="0"/>
          <w:marTop w:val="0"/>
          <w:marBottom w:val="0"/>
          <w:divBdr>
            <w:top w:val="none" w:sz="0" w:space="0" w:color="auto"/>
            <w:left w:val="none" w:sz="0" w:space="0" w:color="auto"/>
            <w:bottom w:val="none" w:sz="0" w:space="0" w:color="auto"/>
            <w:right w:val="none" w:sz="0" w:space="0" w:color="auto"/>
          </w:divBdr>
        </w:div>
      </w:divsChild>
    </w:div>
    <w:div w:id="1485119291">
      <w:bodyDiv w:val="1"/>
      <w:marLeft w:val="0"/>
      <w:marRight w:val="0"/>
      <w:marTop w:val="0"/>
      <w:marBottom w:val="0"/>
      <w:divBdr>
        <w:top w:val="none" w:sz="0" w:space="0" w:color="auto"/>
        <w:left w:val="none" w:sz="0" w:space="0" w:color="auto"/>
        <w:bottom w:val="none" w:sz="0" w:space="0" w:color="auto"/>
        <w:right w:val="none" w:sz="0" w:space="0" w:color="auto"/>
      </w:divBdr>
    </w:div>
    <w:div w:id="1680766465">
      <w:bodyDiv w:val="1"/>
      <w:marLeft w:val="0"/>
      <w:marRight w:val="0"/>
      <w:marTop w:val="0"/>
      <w:marBottom w:val="0"/>
      <w:divBdr>
        <w:top w:val="none" w:sz="0" w:space="0" w:color="auto"/>
        <w:left w:val="none" w:sz="0" w:space="0" w:color="auto"/>
        <w:bottom w:val="none" w:sz="0" w:space="0" w:color="auto"/>
        <w:right w:val="none" w:sz="0" w:space="0" w:color="auto"/>
      </w:divBdr>
    </w:div>
    <w:div w:id="1689214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5510">
          <w:marLeft w:val="0"/>
          <w:marRight w:val="0"/>
          <w:marTop w:val="0"/>
          <w:marBottom w:val="0"/>
          <w:divBdr>
            <w:top w:val="none" w:sz="0" w:space="0" w:color="auto"/>
            <w:left w:val="none" w:sz="0" w:space="0" w:color="auto"/>
            <w:bottom w:val="none" w:sz="0" w:space="0" w:color="auto"/>
            <w:right w:val="none" w:sz="0" w:space="0" w:color="auto"/>
          </w:divBdr>
        </w:div>
        <w:div w:id="613749524">
          <w:marLeft w:val="0"/>
          <w:marRight w:val="0"/>
          <w:marTop w:val="0"/>
          <w:marBottom w:val="0"/>
          <w:divBdr>
            <w:top w:val="none" w:sz="0" w:space="0" w:color="auto"/>
            <w:left w:val="none" w:sz="0" w:space="0" w:color="auto"/>
            <w:bottom w:val="none" w:sz="0" w:space="0" w:color="auto"/>
            <w:right w:val="none" w:sz="0" w:space="0" w:color="auto"/>
          </w:divBdr>
        </w:div>
        <w:div w:id="1894534207">
          <w:marLeft w:val="0"/>
          <w:marRight w:val="0"/>
          <w:marTop w:val="0"/>
          <w:marBottom w:val="0"/>
          <w:divBdr>
            <w:top w:val="none" w:sz="0" w:space="0" w:color="auto"/>
            <w:left w:val="none" w:sz="0" w:space="0" w:color="auto"/>
            <w:bottom w:val="none" w:sz="0" w:space="0" w:color="auto"/>
            <w:right w:val="none" w:sz="0" w:space="0" w:color="auto"/>
          </w:divBdr>
        </w:div>
        <w:div w:id="1004479801">
          <w:marLeft w:val="0"/>
          <w:marRight w:val="0"/>
          <w:marTop w:val="0"/>
          <w:marBottom w:val="0"/>
          <w:divBdr>
            <w:top w:val="none" w:sz="0" w:space="0" w:color="auto"/>
            <w:left w:val="none" w:sz="0" w:space="0" w:color="auto"/>
            <w:bottom w:val="none" w:sz="0" w:space="0" w:color="auto"/>
            <w:right w:val="none" w:sz="0" w:space="0" w:color="auto"/>
          </w:divBdr>
        </w:div>
        <w:div w:id="344481492">
          <w:marLeft w:val="0"/>
          <w:marRight w:val="0"/>
          <w:marTop w:val="0"/>
          <w:marBottom w:val="0"/>
          <w:divBdr>
            <w:top w:val="none" w:sz="0" w:space="0" w:color="auto"/>
            <w:left w:val="none" w:sz="0" w:space="0" w:color="auto"/>
            <w:bottom w:val="none" w:sz="0" w:space="0" w:color="auto"/>
            <w:right w:val="none" w:sz="0" w:space="0" w:color="auto"/>
          </w:divBdr>
        </w:div>
        <w:div w:id="142817374">
          <w:marLeft w:val="0"/>
          <w:marRight w:val="0"/>
          <w:marTop w:val="0"/>
          <w:marBottom w:val="0"/>
          <w:divBdr>
            <w:top w:val="none" w:sz="0" w:space="0" w:color="auto"/>
            <w:left w:val="none" w:sz="0" w:space="0" w:color="auto"/>
            <w:bottom w:val="none" w:sz="0" w:space="0" w:color="auto"/>
            <w:right w:val="none" w:sz="0" w:space="0" w:color="auto"/>
          </w:divBdr>
        </w:div>
        <w:div w:id="155806647">
          <w:marLeft w:val="0"/>
          <w:marRight w:val="0"/>
          <w:marTop w:val="0"/>
          <w:marBottom w:val="0"/>
          <w:divBdr>
            <w:top w:val="none" w:sz="0" w:space="0" w:color="auto"/>
            <w:left w:val="none" w:sz="0" w:space="0" w:color="auto"/>
            <w:bottom w:val="none" w:sz="0" w:space="0" w:color="auto"/>
            <w:right w:val="none" w:sz="0" w:space="0" w:color="auto"/>
          </w:divBdr>
        </w:div>
        <w:div w:id="1668510130">
          <w:marLeft w:val="0"/>
          <w:marRight w:val="0"/>
          <w:marTop w:val="0"/>
          <w:marBottom w:val="0"/>
          <w:divBdr>
            <w:top w:val="none" w:sz="0" w:space="0" w:color="auto"/>
            <w:left w:val="none" w:sz="0" w:space="0" w:color="auto"/>
            <w:bottom w:val="none" w:sz="0" w:space="0" w:color="auto"/>
            <w:right w:val="none" w:sz="0" w:space="0" w:color="auto"/>
          </w:divBdr>
        </w:div>
        <w:div w:id="1459685716">
          <w:marLeft w:val="0"/>
          <w:marRight w:val="0"/>
          <w:marTop w:val="0"/>
          <w:marBottom w:val="0"/>
          <w:divBdr>
            <w:top w:val="none" w:sz="0" w:space="0" w:color="auto"/>
            <w:left w:val="none" w:sz="0" w:space="0" w:color="auto"/>
            <w:bottom w:val="none" w:sz="0" w:space="0" w:color="auto"/>
            <w:right w:val="none" w:sz="0" w:space="0" w:color="auto"/>
          </w:divBdr>
        </w:div>
      </w:divsChild>
    </w:div>
    <w:div w:id="1741173009">
      <w:bodyDiv w:val="1"/>
      <w:marLeft w:val="0"/>
      <w:marRight w:val="0"/>
      <w:marTop w:val="0"/>
      <w:marBottom w:val="0"/>
      <w:divBdr>
        <w:top w:val="none" w:sz="0" w:space="0" w:color="auto"/>
        <w:left w:val="none" w:sz="0" w:space="0" w:color="auto"/>
        <w:bottom w:val="none" w:sz="0" w:space="0" w:color="auto"/>
        <w:right w:val="none" w:sz="0" w:space="0" w:color="auto"/>
      </w:divBdr>
    </w:div>
    <w:div w:id="1776753813">
      <w:bodyDiv w:val="1"/>
      <w:marLeft w:val="0"/>
      <w:marRight w:val="0"/>
      <w:marTop w:val="0"/>
      <w:marBottom w:val="0"/>
      <w:divBdr>
        <w:top w:val="none" w:sz="0" w:space="0" w:color="auto"/>
        <w:left w:val="none" w:sz="0" w:space="0" w:color="auto"/>
        <w:bottom w:val="none" w:sz="0" w:space="0" w:color="auto"/>
        <w:right w:val="none" w:sz="0" w:space="0" w:color="auto"/>
      </w:divBdr>
    </w:div>
    <w:div w:id="1785297644">
      <w:bodyDiv w:val="1"/>
      <w:marLeft w:val="0"/>
      <w:marRight w:val="0"/>
      <w:marTop w:val="0"/>
      <w:marBottom w:val="0"/>
      <w:divBdr>
        <w:top w:val="none" w:sz="0" w:space="0" w:color="auto"/>
        <w:left w:val="none" w:sz="0" w:space="0" w:color="auto"/>
        <w:bottom w:val="none" w:sz="0" w:space="0" w:color="auto"/>
        <w:right w:val="none" w:sz="0" w:space="0" w:color="auto"/>
      </w:divBdr>
      <w:divsChild>
        <w:div w:id="193075915">
          <w:marLeft w:val="0"/>
          <w:marRight w:val="0"/>
          <w:marTop w:val="0"/>
          <w:marBottom w:val="0"/>
          <w:divBdr>
            <w:top w:val="none" w:sz="0" w:space="0" w:color="auto"/>
            <w:left w:val="none" w:sz="0" w:space="0" w:color="auto"/>
            <w:bottom w:val="none" w:sz="0" w:space="0" w:color="auto"/>
            <w:right w:val="none" w:sz="0" w:space="0" w:color="auto"/>
          </w:divBdr>
        </w:div>
        <w:div w:id="2032535925">
          <w:marLeft w:val="0"/>
          <w:marRight w:val="0"/>
          <w:marTop w:val="0"/>
          <w:marBottom w:val="0"/>
          <w:divBdr>
            <w:top w:val="none" w:sz="0" w:space="0" w:color="auto"/>
            <w:left w:val="none" w:sz="0" w:space="0" w:color="auto"/>
            <w:bottom w:val="none" w:sz="0" w:space="0" w:color="auto"/>
            <w:right w:val="none" w:sz="0" w:space="0" w:color="auto"/>
          </w:divBdr>
        </w:div>
        <w:div w:id="1465732314">
          <w:marLeft w:val="0"/>
          <w:marRight w:val="0"/>
          <w:marTop w:val="0"/>
          <w:marBottom w:val="0"/>
          <w:divBdr>
            <w:top w:val="none" w:sz="0" w:space="0" w:color="auto"/>
            <w:left w:val="none" w:sz="0" w:space="0" w:color="auto"/>
            <w:bottom w:val="none" w:sz="0" w:space="0" w:color="auto"/>
            <w:right w:val="none" w:sz="0" w:space="0" w:color="auto"/>
          </w:divBdr>
        </w:div>
      </w:divsChild>
    </w:div>
    <w:div w:id="1860775197">
      <w:bodyDiv w:val="1"/>
      <w:marLeft w:val="0"/>
      <w:marRight w:val="0"/>
      <w:marTop w:val="0"/>
      <w:marBottom w:val="0"/>
      <w:divBdr>
        <w:top w:val="none" w:sz="0" w:space="0" w:color="auto"/>
        <w:left w:val="none" w:sz="0" w:space="0" w:color="auto"/>
        <w:bottom w:val="none" w:sz="0" w:space="0" w:color="auto"/>
        <w:right w:val="none" w:sz="0" w:space="0" w:color="auto"/>
      </w:divBdr>
    </w:div>
    <w:div w:id="1866409296">
      <w:bodyDiv w:val="1"/>
      <w:marLeft w:val="0"/>
      <w:marRight w:val="0"/>
      <w:marTop w:val="0"/>
      <w:marBottom w:val="0"/>
      <w:divBdr>
        <w:top w:val="none" w:sz="0" w:space="0" w:color="auto"/>
        <w:left w:val="none" w:sz="0" w:space="0" w:color="auto"/>
        <w:bottom w:val="none" w:sz="0" w:space="0" w:color="auto"/>
        <w:right w:val="none" w:sz="0" w:space="0" w:color="auto"/>
      </w:divBdr>
      <w:divsChild>
        <w:div w:id="1883319803">
          <w:marLeft w:val="0"/>
          <w:marRight w:val="0"/>
          <w:marTop w:val="0"/>
          <w:marBottom w:val="0"/>
          <w:divBdr>
            <w:top w:val="none" w:sz="0" w:space="0" w:color="auto"/>
            <w:left w:val="none" w:sz="0" w:space="0" w:color="auto"/>
            <w:bottom w:val="none" w:sz="0" w:space="0" w:color="auto"/>
            <w:right w:val="none" w:sz="0" w:space="0" w:color="auto"/>
          </w:divBdr>
        </w:div>
        <w:div w:id="294331115">
          <w:marLeft w:val="0"/>
          <w:marRight w:val="0"/>
          <w:marTop w:val="0"/>
          <w:marBottom w:val="0"/>
          <w:divBdr>
            <w:top w:val="none" w:sz="0" w:space="0" w:color="auto"/>
            <w:left w:val="none" w:sz="0" w:space="0" w:color="auto"/>
            <w:bottom w:val="none" w:sz="0" w:space="0" w:color="auto"/>
            <w:right w:val="none" w:sz="0" w:space="0" w:color="auto"/>
          </w:divBdr>
        </w:div>
        <w:div w:id="405880816">
          <w:marLeft w:val="0"/>
          <w:marRight w:val="0"/>
          <w:marTop w:val="0"/>
          <w:marBottom w:val="0"/>
          <w:divBdr>
            <w:top w:val="none" w:sz="0" w:space="0" w:color="auto"/>
            <w:left w:val="none" w:sz="0" w:space="0" w:color="auto"/>
            <w:bottom w:val="none" w:sz="0" w:space="0" w:color="auto"/>
            <w:right w:val="none" w:sz="0" w:space="0" w:color="auto"/>
          </w:divBdr>
        </w:div>
      </w:divsChild>
    </w:div>
    <w:div w:id="1993175883">
      <w:bodyDiv w:val="1"/>
      <w:marLeft w:val="0"/>
      <w:marRight w:val="0"/>
      <w:marTop w:val="0"/>
      <w:marBottom w:val="0"/>
      <w:divBdr>
        <w:top w:val="none" w:sz="0" w:space="0" w:color="auto"/>
        <w:left w:val="none" w:sz="0" w:space="0" w:color="auto"/>
        <w:bottom w:val="none" w:sz="0" w:space="0" w:color="auto"/>
        <w:right w:val="none" w:sz="0" w:space="0" w:color="auto"/>
      </w:divBdr>
    </w:div>
    <w:div w:id="2099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1347-13EC-4BF5-8B78-7599A8DD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13716</Words>
  <Characters>78183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Understanding mega projects</vt:lpstr>
    </vt:vector>
  </TitlesOfParts>
  <Company>Manchester Business School</Company>
  <LinksUpToDate>false</LinksUpToDate>
  <CharactersWithSpaces>91716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mega projects</dc:title>
  <dc:creator>MBS</dc:creator>
  <cp:lastModifiedBy>staff</cp:lastModifiedBy>
  <cp:revision>3</cp:revision>
  <cp:lastPrinted>2016-02-24T14:58:00Z</cp:lastPrinted>
  <dcterms:created xsi:type="dcterms:W3CDTF">2017-05-04T17:33:00Z</dcterms:created>
  <dcterms:modified xsi:type="dcterms:W3CDTF">2017-05-04T17:34:00Z</dcterms:modified>
</cp:coreProperties>
</file>